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251" w:rsidRPr="00A26C75" w:rsidRDefault="008E6251" w:rsidP="007E2A34">
      <w:pPr>
        <w:widowControl w:val="0"/>
        <w:autoSpaceDE w:val="0"/>
        <w:autoSpaceDN w:val="0"/>
        <w:adjustRightInd w:val="0"/>
        <w:ind w:firstLine="567"/>
        <w:jc w:val="both"/>
        <w:rPr>
          <w:bCs/>
          <w:i/>
          <w:color w:val="000000"/>
          <w:lang w:val="uk-UA"/>
        </w:rPr>
      </w:pPr>
      <w:r w:rsidRPr="00092D6A">
        <w:rPr>
          <w:b/>
          <w:bCs/>
          <w:color w:val="000000"/>
          <w:lang w:val="uk-UA"/>
        </w:rPr>
        <w:t>Проект договору на закупівлю</w:t>
      </w:r>
      <w:r w:rsidRPr="00A26C75">
        <w:rPr>
          <w:b/>
          <w:bCs/>
          <w:color w:val="000000"/>
          <w:lang w:val="uk-UA"/>
        </w:rPr>
        <w:t xml:space="preserve"> </w:t>
      </w:r>
      <w:r w:rsidRPr="00A26C75">
        <w:rPr>
          <w:i/>
          <w:lang w:val="uk-UA"/>
        </w:rPr>
        <w:t>"Блоки машин автоматичного обробляння інформації, інші"</w:t>
      </w:r>
      <w:r>
        <w:rPr>
          <w:i/>
          <w:lang w:val="uk-UA"/>
        </w:rPr>
        <w:t xml:space="preserve"> </w:t>
      </w:r>
      <w:r w:rsidRPr="00A26C75">
        <w:rPr>
          <w:i/>
          <w:lang w:val="uk-UA"/>
        </w:rPr>
        <w:t>(Стрічкові накопичувачі (стримери))</w:t>
      </w:r>
      <w:r w:rsidRPr="00A26C75">
        <w:rPr>
          <w:b/>
          <w:i/>
          <w:lang w:val="uk-UA"/>
        </w:rPr>
        <w:t xml:space="preserve"> (стрічкова бібліотека </w:t>
      </w:r>
      <w:r w:rsidRPr="00A26C75">
        <w:rPr>
          <w:b/>
          <w:bCs/>
          <w:i/>
          <w:color w:val="000000"/>
          <w:lang w:val="uk-UA"/>
        </w:rPr>
        <w:t>з пусконалагоджувальними роботами)</w:t>
      </w:r>
    </w:p>
    <w:p w:rsidR="008E6251" w:rsidRDefault="008E6251" w:rsidP="00092D6A">
      <w:pPr>
        <w:pStyle w:val="Footer"/>
        <w:tabs>
          <w:tab w:val="clear" w:pos="4153"/>
          <w:tab w:val="clear" w:pos="8306"/>
          <w:tab w:val="left" w:pos="-4860"/>
        </w:tabs>
        <w:ind w:firstLine="567"/>
        <w:rPr>
          <w:i/>
          <w:iCs/>
          <w:lang w:val="uk-UA"/>
        </w:rPr>
      </w:pPr>
    </w:p>
    <w:p w:rsidR="008E6251" w:rsidRPr="00625463" w:rsidRDefault="008E6251" w:rsidP="00092D6A">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8E6251" w:rsidRDefault="008E6251" w:rsidP="0076223D">
      <w:pPr>
        <w:pStyle w:val="Footer"/>
        <w:tabs>
          <w:tab w:val="clear" w:pos="4153"/>
          <w:tab w:val="clear" w:pos="8306"/>
          <w:tab w:val="left" w:pos="-4860"/>
        </w:tabs>
        <w:ind w:left="720"/>
        <w:rPr>
          <w:lang w:val="uk-UA"/>
        </w:rPr>
      </w:pPr>
    </w:p>
    <w:p w:rsidR="008E6251" w:rsidRPr="00092D6A" w:rsidRDefault="008E6251" w:rsidP="00092D6A">
      <w:pPr>
        <w:pStyle w:val="Footer"/>
        <w:tabs>
          <w:tab w:val="clear" w:pos="4153"/>
          <w:tab w:val="clear" w:pos="8306"/>
          <w:tab w:val="left" w:pos="-4860"/>
        </w:tabs>
        <w:ind w:firstLine="540"/>
        <w:jc w:val="both"/>
        <w:rPr>
          <w:lang w:val="uk-UA"/>
        </w:rPr>
      </w:pPr>
      <w:r w:rsidRPr="00092D6A">
        <w:rPr>
          <w:lang w:val="uk-UA"/>
        </w:rPr>
        <w:t xml:space="preserve">__________________________________________________________, що надалі іменується "Постачальник", в особі ___________________________________, який діє на підставі ___________________, з однієї сторони та Державне підприємство "Енергоринок", що надалі іменується "Покупець",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8E6251" w:rsidRPr="00D44770" w:rsidRDefault="008E6251" w:rsidP="0076223D">
      <w:pPr>
        <w:pStyle w:val="Footer"/>
        <w:tabs>
          <w:tab w:val="clear" w:pos="4153"/>
          <w:tab w:val="clear" w:pos="8306"/>
          <w:tab w:val="left" w:pos="-4860"/>
        </w:tabs>
        <w:ind w:left="720"/>
        <w:rPr>
          <w:i/>
          <w:iCs/>
          <w:lang w:val="uk-UA"/>
        </w:rPr>
      </w:pPr>
    </w:p>
    <w:p w:rsidR="008E6251" w:rsidRPr="00D744F5" w:rsidRDefault="008E6251" w:rsidP="0076223D">
      <w:pPr>
        <w:pStyle w:val="BodyText2"/>
        <w:numPr>
          <w:ilvl w:val="0"/>
          <w:numId w:val="8"/>
        </w:numPr>
        <w:spacing w:after="0" w:line="240" w:lineRule="auto"/>
        <w:jc w:val="center"/>
        <w:rPr>
          <w:b/>
          <w:bCs/>
          <w:color w:val="000000"/>
          <w:spacing w:val="-1"/>
          <w:w w:val="103"/>
        </w:rPr>
      </w:pPr>
      <w:r w:rsidRPr="00D744F5">
        <w:rPr>
          <w:b/>
          <w:bCs/>
          <w:color w:val="000000"/>
          <w:spacing w:val="-1"/>
          <w:w w:val="103"/>
        </w:rPr>
        <w:t>ПРЕДМЕТ ДОГОВОРУ</w:t>
      </w:r>
    </w:p>
    <w:p w:rsidR="008E6251" w:rsidRPr="00D7080C" w:rsidRDefault="008E6251" w:rsidP="0076223D">
      <w:pPr>
        <w:pStyle w:val="BodyText2"/>
        <w:numPr>
          <w:ilvl w:val="0"/>
          <w:numId w:val="1"/>
        </w:numPr>
        <w:tabs>
          <w:tab w:val="left" w:pos="1134"/>
        </w:tabs>
        <w:spacing w:after="0" w:line="240" w:lineRule="auto"/>
        <w:ind w:left="0" w:firstLine="567"/>
        <w:jc w:val="both"/>
        <w:rPr>
          <w:bCs/>
          <w:snapToGrid w:val="0"/>
          <w:lang w:val="uk-UA"/>
        </w:rPr>
      </w:pPr>
      <w:r w:rsidRPr="00D7080C">
        <w:rPr>
          <w:bCs/>
          <w:snapToGrid w:val="0"/>
          <w:lang w:val="uk-UA"/>
        </w:rPr>
        <w:t xml:space="preserve">Постачальник власними силами та за власні кошти здійснює поставку за адресою </w:t>
      </w:r>
      <w:r w:rsidRPr="00D7080C">
        <w:rPr>
          <w:sz w:val="28"/>
          <w:szCs w:val="28"/>
          <w:lang w:val="uk-UA"/>
        </w:rPr>
        <w:t>м. </w:t>
      </w:r>
      <w:r w:rsidRPr="00D7080C">
        <w:rPr>
          <w:bCs/>
          <w:snapToGrid w:val="0"/>
          <w:lang w:val="uk-UA"/>
        </w:rPr>
        <w:t xml:space="preserve">Київ, </w:t>
      </w:r>
      <w:r w:rsidRPr="000945A7">
        <w:rPr>
          <w:bCs/>
          <w:snapToGrid w:val="0"/>
          <w:lang w:val="uk-UA"/>
        </w:rPr>
        <w:t>вул. Симона Петлюри 27, кімната 707</w:t>
      </w:r>
      <w:r w:rsidRPr="005A2DB4">
        <w:rPr>
          <w:color w:val="FF0000"/>
          <w:lang w:val="uk-UA"/>
        </w:rPr>
        <w:t xml:space="preserve"> </w:t>
      </w:r>
      <w:r w:rsidRPr="00A26C75">
        <w:rPr>
          <w:i/>
          <w:lang w:val="uk-UA"/>
        </w:rPr>
        <w:t>"Блоки машин автоматичного обробляння інформації, інші"</w:t>
      </w:r>
      <w:r>
        <w:rPr>
          <w:i/>
          <w:lang w:val="uk-UA"/>
        </w:rPr>
        <w:t xml:space="preserve"> </w:t>
      </w:r>
      <w:r w:rsidRPr="00A26C75">
        <w:rPr>
          <w:i/>
          <w:lang w:val="uk-UA"/>
        </w:rPr>
        <w:t>(Стрічкові накопичувачі (стримери))</w:t>
      </w:r>
      <w:r w:rsidRPr="00A26C75">
        <w:rPr>
          <w:b/>
          <w:i/>
          <w:lang w:val="uk-UA"/>
        </w:rPr>
        <w:t xml:space="preserve"> (стрічкова бібліотека </w:t>
      </w:r>
      <w:r w:rsidRPr="00A26C75">
        <w:rPr>
          <w:b/>
          <w:bCs/>
          <w:i/>
          <w:color w:val="000000"/>
          <w:lang w:val="uk-UA"/>
        </w:rPr>
        <w:t>з пусконалагоджувальними роботами)</w:t>
      </w:r>
      <w:r>
        <w:rPr>
          <w:bCs/>
          <w:snapToGrid w:val="0"/>
          <w:lang w:val="uk-UA"/>
        </w:rPr>
        <w:t xml:space="preserve">, </w:t>
      </w:r>
      <w:r w:rsidRPr="00D7080C">
        <w:rPr>
          <w:bCs/>
          <w:snapToGrid w:val="0"/>
          <w:lang w:val="uk-UA"/>
        </w:rPr>
        <w:t>далі – Обладнання</w:t>
      </w:r>
      <w:r>
        <w:rPr>
          <w:bCs/>
          <w:snapToGrid w:val="0"/>
          <w:lang w:val="uk-UA"/>
        </w:rPr>
        <w:t>, та виконує пусконалагоджувальні роботи</w:t>
      </w:r>
      <w:r w:rsidRPr="00D7080C">
        <w:rPr>
          <w:bCs/>
          <w:snapToGrid w:val="0"/>
          <w:lang w:val="uk-UA"/>
        </w:rPr>
        <w:t xml:space="preserve">. Специфікація Обладнання зазначена </w:t>
      </w:r>
      <w:r w:rsidRPr="00D7080C">
        <w:rPr>
          <w:color w:val="000000"/>
          <w:lang w:val="uk-UA"/>
        </w:rPr>
        <w:t xml:space="preserve">в Додатку №1 </w:t>
      </w:r>
      <w:r w:rsidRPr="00D7080C">
        <w:rPr>
          <w:lang w:val="uk-UA"/>
        </w:rPr>
        <w:t>до Договору.</w:t>
      </w:r>
      <w:r w:rsidRPr="00D7080C">
        <w:rPr>
          <w:color w:val="000000"/>
          <w:lang w:val="uk-UA"/>
        </w:rPr>
        <w:t xml:space="preserve"> </w:t>
      </w:r>
    </w:p>
    <w:p w:rsidR="008E6251" w:rsidRPr="0076223D" w:rsidRDefault="008E6251" w:rsidP="0076223D">
      <w:pPr>
        <w:pStyle w:val="BodyText2"/>
        <w:numPr>
          <w:ilvl w:val="0"/>
          <w:numId w:val="1"/>
        </w:numPr>
        <w:tabs>
          <w:tab w:val="left" w:pos="851"/>
          <w:tab w:val="left" w:pos="1134"/>
          <w:tab w:val="left" w:pos="1276"/>
          <w:tab w:val="left" w:pos="1701"/>
          <w:tab w:val="left" w:pos="2552"/>
        </w:tabs>
        <w:spacing w:after="0" w:line="240" w:lineRule="auto"/>
        <w:ind w:left="0" w:firstLine="567"/>
        <w:jc w:val="both"/>
        <w:rPr>
          <w:bCs/>
          <w:snapToGrid w:val="0"/>
          <w:lang w:val="uk-UA"/>
        </w:rPr>
      </w:pPr>
      <w:r w:rsidRPr="0076223D">
        <w:rPr>
          <w:bCs/>
          <w:snapToGrid w:val="0"/>
          <w:lang w:val="uk-UA"/>
        </w:rPr>
        <w:t>Вартість Обладнання зазначена в Додатку №1 до Договору. Вартість Обладнання включає в себе вартість пусконалагоджувальних робіт, а також всі податки, збори та інші витрати, необхідні для поставки Обладнання.</w:t>
      </w:r>
    </w:p>
    <w:p w:rsidR="008E6251" w:rsidRPr="0076223D" w:rsidRDefault="008E6251" w:rsidP="0076223D">
      <w:pPr>
        <w:pStyle w:val="BodyText2"/>
        <w:numPr>
          <w:ilvl w:val="0"/>
          <w:numId w:val="1"/>
        </w:numPr>
        <w:tabs>
          <w:tab w:val="left" w:pos="1134"/>
        </w:tabs>
        <w:spacing w:after="0" w:line="240" w:lineRule="auto"/>
        <w:ind w:left="0" w:firstLine="567"/>
        <w:jc w:val="both"/>
        <w:rPr>
          <w:color w:val="000000"/>
          <w:lang w:val="uk-UA"/>
        </w:rPr>
      </w:pPr>
      <w:r w:rsidRPr="0076223D">
        <w:rPr>
          <w:bCs/>
          <w:snapToGrid w:val="0"/>
          <w:lang w:val="uk-UA"/>
        </w:rPr>
        <w:t>Покупець</w:t>
      </w:r>
      <w:r w:rsidRPr="0076223D">
        <w:rPr>
          <w:color w:val="000000"/>
          <w:lang w:val="uk-UA"/>
        </w:rPr>
        <w:t xml:space="preserve"> зобов’язується прийняти </w:t>
      </w:r>
      <w:r w:rsidRPr="0076223D">
        <w:rPr>
          <w:bCs/>
          <w:snapToGrid w:val="0"/>
          <w:lang w:val="uk-UA"/>
        </w:rPr>
        <w:t xml:space="preserve">Обладнання </w:t>
      </w:r>
      <w:r w:rsidRPr="0076223D">
        <w:rPr>
          <w:color w:val="000000"/>
          <w:lang w:val="uk-UA"/>
        </w:rPr>
        <w:t>та своєчасно здійснити оплату на умовах та в порядку, встановленому у Договорі.</w:t>
      </w:r>
    </w:p>
    <w:p w:rsidR="008E6251" w:rsidRDefault="008E6251" w:rsidP="0076223D">
      <w:pPr>
        <w:pStyle w:val="List2"/>
        <w:numPr>
          <w:ilvl w:val="0"/>
          <w:numId w:val="1"/>
        </w:numPr>
        <w:tabs>
          <w:tab w:val="left" w:pos="1134"/>
        </w:tabs>
        <w:ind w:left="0" w:firstLine="567"/>
        <w:jc w:val="both"/>
      </w:pPr>
      <w:r w:rsidRPr="0076223D">
        <w:t xml:space="preserve">Обсяги закупівлі можуть бути зменшені залежно від реального фінансування видатків. </w:t>
      </w:r>
    </w:p>
    <w:p w:rsidR="008E6251" w:rsidRPr="0076223D" w:rsidRDefault="008E6251" w:rsidP="00263CBC">
      <w:pPr>
        <w:pStyle w:val="List2"/>
        <w:tabs>
          <w:tab w:val="clear" w:pos="2520"/>
          <w:tab w:val="left" w:pos="1134"/>
        </w:tabs>
        <w:ind w:left="0" w:firstLine="0"/>
        <w:jc w:val="both"/>
      </w:pPr>
    </w:p>
    <w:p w:rsidR="008E6251" w:rsidRPr="0076223D" w:rsidRDefault="008E6251" w:rsidP="0076223D">
      <w:pPr>
        <w:pStyle w:val="BodyText2"/>
        <w:widowControl w:val="0"/>
        <w:tabs>
          <w:tab w:val="left" w:pos="567"/>
        </w:tabs>
        <w:autoSpaceDE w:val="0"/>
        <w:autoSpaceDN w:val="0"/>
        <w:adjustRightInd w:val="0"/>
        <w:spacing w:after="0" w:line="240" w:lineRule="auto"/>
        <w:ind w:left="927"/>
        <w:jc w:val="center"/>
        <w:rPr>
          <w:b/>
          <w:bCs/>
          <w:color w:val="000000"/>
          <w:w w:val="101"/>
          <w:lang w:val="uk-UA"/>
        </w:rPr>
      </w:pPr>
      <w:r w:rsidRPr="0076223D">
        <w:rPr>
          <w:b/>
          <w:bCs/>
          <w:color w:val="000000"/>
          <w:w w:val="101"/>
          <w:lang w:val="uk-UA"/>
        </w:rPr>
        <w:t>2. ВАРТІСТЬ ДОГОВОРУ</w:t>
      </w:r>
    </w:p>
    <w:p w:rsidR="008E6251" w:rsidRPr="0076223D" w:rsidRDefault="008E6251" w:rsidP="0076223D">
      <w:pPr>
        <w:pStyle w:val="BodyText2"/>
        <w:numPr>
          <w:ilvl w:val="0"/>
          <w:numId w:val="2"/>
        </w:numPr>
        <w:tabs>
          <w:tab w:val="left" w:pos="1134"/>
        </w:tabs>
        <w:spacing w:after="0" w:line="240" w:lineRule="auto"/>
        <w:ind w:left="0" w:firstLine="567"/>
        <w:jc w:val="both"/>
        <w:rPr>
          <w:bCs/>
          <w:snapToGrid w:val="0"/>
          <w:lang w:val="uk-UA"/>
        </w:rPr>
      </w:pPr>
      <w:r w:rsidRPr="0076223D">
        <w:rPr>
          <w:bCs/>
          <w:snapToGrid w:val="0"/>
          <w:lang w:val="uk-UA"/>
        </w:rPr>
        <w:t>Вартість Обладнання є фіксованою та зазначається у Додатку №1 до Договору.</w:t>
      </w:r>
    </w:p>
    <w:p w:rsidR="008E6251" w:rsidRPr="0076223D" w:rsidRDefault="008E6251" w:rsidP="0076223D">
      <w:pPr>
        <w:pStyle w:val="BodyText2"/>
        <w:numPr>
          <w:ilvl w:val="0"/>
          <w:numId w:val="2"/>
        </w:numPr>
        <w:tabs>
          <w:tab w:val="left" w:pos="1134"/>
        </w:tabs>
        <w:spacing w:after="0" w:line="240" w:lineRule="auto"/>
        <w:ind w:left="0" w:firstLine="567"/>
        <w:jc w:val="both"/>
        <w:rPr>
          <w:bCs/>
          <w:snapToGrid w:val="0"/>
          <w:lang w:val="uk-UA"/>
        </w:rPr>
      </w:pPr>
      <w:r w:rsidRPr="0076223D">
        <w:rPr>
          <w:bCs/>
          <w:snapToGrid w:val="0"/>
          <w:lang w:val="uk-UA"/>
        </w:rPr>
        <w:t>Вартість Договору складає – _________,__ грн. (________________ гривень __ коп.), крім того 20% ПДВ – _________,__ грн. (______________________ гривень __ коп.). Разом з урахуванням ПДВ – _________,__ грн. (______________________ гривень __ коп.).</w:t>
      </w:r>
    </w:p>
    <w:p w:rsidR="008E6251" w:rsidRPr="0076223D" w:rsidRDefault="008E6251" w:rsidP="0076223D">
      <w:pPr>
        <w:pStyle w:val="BodyText2"/>
        <w:widowControl w:val="0"/>
        <w:tabs>
          <w:tab w:val="left" w:pos="567"/>
        </w:tabs>
        <w:autoSpaceDE w:val="0"/>
        <w:autoSpaceDN w:val="0"/>
        <w:adjustRightInd w:val="0"/>
        <w:spacing w:after="0" w:line="240" w:lineRule="auto"/>
        <w:rPr>
          <w:bCs/>
          <w:color w:val="000000"/>
          <w:w w:val="101"/>
          <w:lang w:val="uk-UA"/>
        </w:rPr>
      </w:pPr>
    </w:p>
    <w:p w:rsidR="008E6251" w:rsidRPr="0076223D" w:rsidRDefault="008E6251" w:rsidP="0076223D">
      <w:pPr>
        <w:pStyle w:val="BodyText2"/>
        <w:widowControl w:val="0"/>
        <w:tabs>
          <w:tab w:val="left" w:pos="567"/>
        </w:tabs>
        <w:autoSpaceDE w:val="0"/>
        <w:autoSpaceDN w:val="0"/>
        <w:adjustRightInd w:val="0"/>
        <w:spacing w:after="0" w:line="240" w:lineRule="auto"/>
        <w:jc w:val="center"/>
        <w:rPr>
          <w:b/>
          <w:bCs/>
          <w:color w:val="000000"/>
          <w:w w:val="101"/>
          <w:lang w:val="uk-UA"/>
        </w:rPr>
      </w:pPr>
      <w:r w:rsidRPr="0076223D">
        <w:rPr>
          <w:b/>
          <w:bCs/>
          <w:color w:val="000000"/>
          <w:w w:val="101"/>
          <w:lang w:val="uk-UA"/>
        </w:rPr>
        <w:t>3. ПОРЯДОК РОЗРАХУНКІВ</w:t>
      </w:r>
    </w:p>
    <w:p w:rsidR="008E6251" w:rsidRPr="0076223D" w:rsidRDefault="008E6251" w:rsidP="0076223D">
      <w:pPr>
        <w:pStyle w:val="List2"/>
        <w:numPr>
          <w:ilvl w:val="0"/>
          <w:numId w:val="3"/>
        </w:numPr>
        <w:tabs>
          <w:tab w:val="left" w:pos="1134"/>
        </w:tabs>
        <w:ind w:left="0" w:firstLine="567"/>
        <w:jc w:val="both"/>
      </w:pPr>
      <w:r w:rsidRPr="0076223D">
        <w:t>Розрахунки за Договором здійснюються Покупцем шляхом безготівкового перерахування грошових коштів на поточний рахунок Постачальника на підставі рахунків-фактур. У платіжних дорученнях обов’язково зазначається номер та дата Договору.</w:t>
      </w:r>
    </w:p>
    <w:p w:rsidR="008E6251" w:rsidRPr="0076223D" w:rsidRDefault="008E6251" w:rsidP="0076223D">
      <w:pPr>
        <w:pStyle w:val="BodyTextIndent2"/>
        <w:numPr>
          <w:ilvl w:val="0"/>
          <w:numId w:val="3"/>
        </w:numPr>
        <w:tabs>
          <w:tab w:val="left" w:pos="1134"/>
        </w:tabs>
        <w:spacing w:after="0" w:line="240" w:lineRule="auto"/>
        <w:ind w:left="0" w:firstLine="567"/>
        <w:jc w:val="both"/>
        <w:rPr>
          <w:lang w:val="uk-UA"/>
        </w:rPr>
      </w:pPr>
      <w:r w:rsidRPr="0076223D">
        <w:rPr>
          <w:lang w:val="uk-UA"/>
        </w:rPr>
        <w:t>Покупець здійснює попередню оплату у розмірі 70% від суми Договору після підписання Договору, протягом 10 (десяти) банківських днів з дня отримання Покупцем від Постачальника відповідного рахунку-фактури. Рахунок-фактура надається Постачальником Покупцеві на наступний день після підписання Сторонами Договору.</w:t>
      </w:r>
    </w:p>
    <w:p w:rsidR="008E6251" w:rsidRPr="0076223D" w:rsidRDefault="008E6251" w:rsidP="0076223D">
      <w:pPr>
        <w:pStyle w:val="List2"/>
        <w:numPr>
          <w:ilvl w:val="0"/>
          <w:numId w:val="3"/>
        </w:numPr>
        <w:tabs>
          <w:tab w:val="left" w:pos="1134"/>
        </w:tabs>
        <w:ind w:left="0" w:firstLine="567"/>
        <w:jc w:val="both"/>
      </w:pPr>
      <w:r w:rsidRPr="0076223D">
        <w:t xml:space="preserve">Решта вартості Договору у розмірі 30% сплачується протягом 7 (семи) банківських днів після підписання Акту приймання-передачі Обладнання на підставі </w:t>
      </w:r>
      <w:r w:rsidRPr="0076223D">
        <w:rPr>
          <w:bCs/>
        </w:rPr>
        <w:t>рахунку-фактури</w:t>
      </w:r>
      <w:r w:rsidRPr="0076223D">
        <w:t>. Акт приймання-передачі Обладнання підписується Покупцем після постачання</w:t>
      </w:r>
      <w:r w:rsidRPr="0076223D">
        <w:rPr>
          <w:bCs/>
          <w:snapToGrid w:val="0"/>
        </w:rPr>
        <w:t xml:space="preserve"> Обладнання та виконання Постачальником пусконалагоджувальних робіт в разі відсутності зауважень до якості, комплектності та працездатності Обладнання</w:t>
      </w:r>
      <w:r w:rsidRPr="0076223D">
        <w:t>. Рахунок-фактура надається Постачальником Покупцеві разом з Актом приймання-передачі Обладнання.</w:t>
      </w:r>
    </w:p>
    <w:p w:rsidR="008E6251" w:rsidRPr="00993229" w:rsidRDefault="008E6251" w:rsidP="0076223D">
      <w:pPr>
        <w:pStyle w:val="List2"/>
        <w:numPr>
          <w:ilvl w:val="0"/>
          <w:numId w:val="3"/>
        </w:numPr>
        <w:tabs>
          <w:tab w:val="left" w:pos="1134"/>
        </w:tabs>
        <w:ind w:left="0" w:firstLine="567"/>
        <w:jc w:val="both"/>
      </w:pPr>
      <w:r w:rsidRPr="00993229">
        <w:t>У випадку ненадання Постачальником оформленого належним чином рахунку-фактури у строки, передбачені цим Договором, Покупець не несе відповідальності за прострочення з оплати вартості Обладнання</w:t>
      </w:r>
      <w:r>
        <w:t>,</w:t>
      </w:r>
      <w:r w:rsidRPr="00993229">
        <w:t xml:space="preserve"> відповідно на кількість прострочених Постачальником </w:t>
      </w:r>
      <w:r>
        <w:t>днів</w:t>
      </w:r>
      <w:r w:rsidRPr="00993229">
        <w:t xml:space="preserve"> з надання рахунку-фактури за цим Договором.</w:t>
      </w:r>
    </w:p>
    <w:p w:rsidR="008E6251" w:rsidRPr="0076223D" w:rsidRDefault="008E6251" w:rsidP="0076223D">
      <w:pPr>
        <w:pStyle w:val="BodyText2"/>
        <w:numPr>
          <w:ilvl w:val="0"/>
          <w:numId w:val="3"/>
        </w:numPr>
        <w:tabs>
          <w:tab w:val="left" w:pos="1080"/>
          <w:tab w:val="left" w:pos="1134"/>
        </w:tabs>
        <w:spacing w:after="0" w:line="240" w:lineRule="auto"/>
        <w:ind w:left="0" w:firstLine="567"/>
        <w:jc w:val="both"/>
        <w:rPr>
          <w:color w:val="000000"/>
          <w:lang w:val="uk-UA"/>
        </w:rPr>
      </w:pPr>
      <w:r w:rsidRPr="0076223D">
        <w:rPr>
          <w:color w:val="000000"/>
          <w:lang w:val="uk-UA"/>
        </w:rPr>
        <w:t xml:space="preserve">Усі розрахунки за Договором здійснюються в національній валюті України </w:t>
      </w:r>
      <w:r w:rsidRPr="0076223D">
        <w:rPr>
          <w:bCs/>
          <w:snapToGrid w:val="0"/>
          <w:lang w:val="uk-UA"/>
        </w:rPr>
        <w:t>–</w:t>
      </w:r>
      <w:r w:rsidRPr="0076223D">
        <w:rPr>
          <w:color w:val="000000"/>
          <w:lang w:val="uk-UA"/>
        </w:rPr>
        <w:t xml:space="preserve"> гривні.</w:t>
      </w:r>
    </w:p>
    <w:p w:rsidR="008E6251" w:rsidRPr="0076223D" w:rsidRDefault="008E6251" w:rsidP="0076223D">
      <w:pPr>
        <w:pStyle w:val="BodyText2"/>
        <w:tabs>
          <w:tab w:val="left" w:pos="1080"/>
          <w:tab w:val="left" w:pos="1134"/>
        </w:tabs>
        <w:spacing w:after="0" w:line="240" w:lineRule="auto"/>
        <w:ind w:left="567"/>
        <w:jc w:val="both"/>
        <w:rPr>
          <w:b/>
          <w:color w:val="000000"/>
          <w:lang w:val="uk-UA"/>
        </w:rPr>
      </w:pPr>
    </w:p>
    <w:p w:rsidR="008E6251" w:rsidRPr="00B81571" w:rsidRDefault="008E6251" w:rsidP="00263CBC">
      <w:pPr>
        <w:pStyle w:val="ListParagraph"/>
        <w:keepNext/>
        <w:numPr>
          <w:ilvl w:val="0"/>
          <w:numId w:val="12"/>
        </w:numPr>
        <w:ind w:left="1281" w:hanging="357"/>
        <w:contextualSpacing w:val="0"/>
        <w:jc w:val="center"/>
        <w:rPr>
          <w:lang w:val="uk-UA"/>
        </w:rPr>
      </w:pPr>
      <w:r w:rsidRPr="006D23AB">
        <w:rPr>
          <w:b/>
          <w:bCs/>
          <w:snapToGrid w:val="0"/>
          <w:lang w:val="uk-UA"/>
        </w:rPr>
        <w:t>ГАРАНТІЯ</w:t>
      </w:r>
      <w:r w:rsidRPr="006D23AB">
        <w:rPr>
          <w:b/>
          <w:lang w:val="uk-UA"/>
        </w:rPr>
        <w:t xml:space="preserve"> ТА ЯКІСТЬ</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 xml:space="preserve">На все Обладнання, що постачається згідно з цим Договором  надається гарантія Постачальника терміном </w:t>
      </w:r>
      <w:r>
        <w:rPr>
          <w:lang w:val="uk-UA"/>
        </w:rPr>
        <w:t>3</w:t>
      </w:r>
      <w:r w:rsidRPr="006D23AB">
        <w:rPr>
          <w:lang w:val="uk-UA"/>
        </w:rPr>
        <w:t xml:space="preserve"> р</w:t>
      </w:r>
      <w:r>
        <w:rPr>
          <w:lang w:val="uk-UA"/>
        </w:rPr>
        <w:t>о</w:t>
      </w:r>
      <w:r w:rsidRPr="006D23AB">
        <w:rPr>
          <w:lang w:val="uk-UA"/>
        </w:rPr>
        <w:t>к</w:t>
      </w:r>
      <w:r>
        <w:rPr>
          <w:lang w:val="uk-UA"/>
        </w:rPr>
        <w:t>и</w:t>
      </w:r>
      <w:r w:rsidRPr="006D23AB">
        <w:rPr>
          <w:lang w:val="uk-UA"/>
        </w:rPr>
        <w:t>.</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Постачальник зобов'язаний за власний рахунок усунути недоліки, виявлені під час гарантійного терміну, або замінити Обладнання, за умови дотримання Покупцем правил експлуатації та/або зберігання Обладнання.</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У випадку ремонту або заміни внаслідок неможливості ремонту Обладнання, Постачальник повинен власними силами та за власні кошти здійснити транспортування Обладнання від Покупця до сервісного центру, а по закінченню ремонту чи у випадку заміни, виконати доставку Обладнання на адресу Покупця. Термін відновлення працездатності або заміни Обладнання в разі виходу з ладу становить не більше 14 (чотирнадцяти) робочих днів</w:t>
      </w:r>
      <w:r>
        <w:rPr>
          <w:lang w:val="uk-UA"/>
        </w:rPr>
        <w:t xml:space="preserve"> після звернення Покупця </w:t>
      </w:r>
      <w:r w:rsidRPr="0061294D">
        <w:rPr>
          <w:lang w:val="uk-UA" w:eastAsia="uk-UA"/>
        </w:rPr>
        <w:t>щодо відновлення працездатності</w:t>
      </w:r>
      <w:r>
        <w:rPr>
          <w:lang w:val="uk-UA" w:eastAsia="uk-UA"/>
        </w:rPr>
        <w:t xml:space="preserve"> </w:t>
      </w:r>
      <w:r w:rsidRPr="00604CF8">
        <w:rPr>
          <w:lang w:val="uk-UA"/>
        </w:rPr>
        <w:t>Обладнання</w:t>
      </w:r>
      <w:r>
        <w:rPr>
          <w:lang w:val="uk-UA"/>
        </w:rPr>
        <w:t>.</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Постачальник на час гарантійного ремонту Обладнання надає Покупцю обладнання такої ж самої специфікації  для заміни не</w:t>
      </w:r>
      <w:r>
        <w:rPr>
          <w:lang w:val="uk-UA"/>
        </w:rPr>
        <w:t xml:space="preserve"> пізніше ніж через 3 робочих дні</w:t>
      </w:r>
      <w:r w:rsidRPr="006D23AB">
        <w:rPr>
          <w:lang w:val="uk-UA"/>
        </w:rPr>
        <w:t xml:space="preserve"> після отримання від Покупця повідомлення (за телефоном або електронною поштою) про вихід з ладу Обладнання.</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Гарантійний строк продовжується на час, протягом якого Обладнання не могло використовуватися у зв’язку з виявленням в ньому недоліків.</w:t>
      </w:r>
    </w:p>
    <w:p w:rsidR="008E6251" w:rsidRPr="006D23AB" w:rsidRDefault="008E6251" w:rsidP="0076223D">
      <w:pPr>
        <w:pStyle w:val="ListParagraph"/>
        <w:numPr>
          <w:ilvl w:val="0"/>
          <w:numId w:val="11"/>
        </w:numPr>
        <w:tabs>
          <w:tab w:val="left" w:pos="1134"/>
          <w:tab w:val="left" w:pos="9781"/>
        </w:tabs>
        <w:ind w:left="0" w:firstLine="567"/>
        <w:contextualSpacing w:val="0"/>
        <w:jc w:val="both"/>
        <w:rPr>
          <w:lang w:val="uk-UA"/>
        </w:rPr>
      </w:pPr>
      <w:r w:rsidRPr="006D23AB">
        <w:rPr>
          <w:lang w:val="uk-UA"/>
        </w:rPr>
        <w:t>У разі заміни Обладнання неналежної якості, гарантійний строк на нього починає спливати з моменту заміни.</w:t>
      </w:r>
    </w:p>
    <w:p w:rsidR="008E6251" w:rsidRDefault="008E6251" w:rsidP="0076223D">
      <w:pPr>
        <w:pStyle w:val="BodyText2"/>
        <w:widowControl w:val="0"/>
        <w:tabs>
          <w:tab w:val="left" w:pos="567"/>
        </w:tabs>
        <w:autoSpaceDE w:val="0"/>
        <w:autoSpaceDN w:val="0"/>
        <w:adjustRightInd w:val="0"/>
        <w:spacing w:after="0" w:line="240" w:lineRule="auto"/>
        <w:ind w:left="927"/>
        <w:jc w:val="center"/>
        <w:rPr>
          <w:b/>
          <w:bCs/>
          <w:lang w:val="uk-UA"/>
        </w:rPr>
      </w:pPr>
    </w:p>
    <w:p w:rsidR="008E6251" w:rsidRPr="00D744F5" w:rsidRDefault="008E6251" w:rsidP="0076223D">
      <w:pPr>
        <w:pStyle w:val="BodyText2"/>
        <w:widowControl w:val="0"/>
        <w:tabs>
          <w:tab w:val="left" w:pos="567"/>
        </w:tabs>
        <w:autoSpaceDE w:val="0"/>
        <w:autoSpaceDN w:val="0"/>
        <w:adjustRightInd w:val="0"/>
        <w:spacing w:after="0" w:line="240" w:lineRule="auto"/>
        <w:ind w:left="927"/>
        <w:jc w:val="center"/>
        <w:rPr>
          <w:b/>
          <w:bCs/>
          <w:color w:val="000000"/>
          <w:w w:val="101"/>
        </w:rPr>
      </w:pPr>
      <w:r>
        <w:rPr>
          <w:b/>
          <w:bCs/>
          <w:lang w:val="uk-UA"/>
        </w:rPr>
        <w:t>5</w:t>
      </w:r>
      <w:r w:rsidRPr="00D744F5">
        <w:rPr>
          <w:b/>
          <w:bCs/>
        </w:rPr>
        <w:t>. ПОРЯДОК І ТЕРМІНИ ПЕРЕДАЧІ ОБЛАДНАННЯ</w:t>
      </w:r>
    </w:p>
    <w:p w:rsidR="008E6251" w:rsidRPr="006D23AB" w:rsidRDefault="008E6251" w:rsidP="0076223D">
      <w:pPr>
        <w:pStyle w:val="ListParagraph"/>
        <w:numPr>
          <w:ilvl w:val="0"/>
          <w:numId w:val="10"/>
        </w:numPr>
        <w:tabs>
          <w:tab w:val="left" w:pos="1134"/>
        </w:tabs>
        <w:ind w:left="0" w:firstLine="567"/>
        <w:contextualSpacing w:val="0"/>
        <w:jc w:val="both"/>
        <w:rPr>
          <w:lang w:val="uk-UA"/>
        </w:rPr>
      </w:pPr>
      <w:r w:rsidRPr="006D23AB">
        <w:rPr>
          <w:lang w:val="uk-UA"/>
        </w:rPr>
        <w:t xml:space="preserve">Постачальник зобов'язаний поставити Обладнання Покупцю та виконати пусконалагоджувальні протягом </w:t>
      </w:r>
      <w:r>
        <w:rPr>
          <w:lang w:val="uk-UA"/>
        </w:rPr>
        <w:t>4</w:t>
      </w:r>
      <w:r w:rsidRPr="00894B0E">
        <w:rPr>
          <w:lang w:val="uk-UA"/>
        </w:rPr>
        <w:t>0</w:t>
      </w:r>
      <w:r w:rsidRPr="00D95FB6">
        <w:rPr>
          <w:color w:val="FF0000"/>
          <w:lang w:val="uk-UA"/>
        </w:rPr>
        <w:t xml:space="preserve"> </w:t>
      </w:r>
      <w:r w:rsidRPr="006D23AB">
        <w:rPr>
          <w:lang w:val="uk-UA"/>
        </w:rPr>
        <w:t>(</w:t>
      </w:r>
      <w:r>
        <w:rPr>
          <w:lang w:val="uk-UA"/>
        </w:rPr>
        <w:t>сорока</w:t>
      </w:r>
      <w:r w:rsidRPr="006D23AB">
        <w:rPr>
          <w:lang w:val="uk-UA"/>
        </w:rPr>
        <w:t xml:space="preserve">) </w:t>
      </w:r>
      <w:r>
        <w:rPr>
          <w:lang w:val="uk-UA"/>
        </w:rPr>
        <w:t>календарних</w:t>
      </w:r>
      <w:r w:rsidRPr="006D23AB">
        <w:rPr>
          <w:lang w:val="uk-UA"/>
        </w:rPr>
        <w:t xml:space="preserve"> днів з дня укладення Договору.  Обладнання постачається в зборі, у стані придатному до експлуатації.</w:t>
      </w:r>
    </w:p>
    <w:p w:rsidR="008E6251" w:rsidRPr="00894B0E" w:rsidRDefault="008E6251" w:rsidP="0076223D">
      <w:pPr>
        <w:pStyle w:val="ListParagraph"/>
        <w:numPr>
          <w:ilvl w:val="0"/>
          <w:numId w:val="10"/>
        </w:numPr>
        <w:tabs>
          <w:tab w:val="left" w:pos="1134"/>
        </w:tabs>
        <w:ind w:left="0" w:firstLine="567"/>
        <w:contextualSpacing w:val="0"/>
        <w:jc w:val="both"/>
        <w:rPr>
          <w:lang w:val="uk-UA"/>
        </w:rPr>
      </w:pPr>
      <w:r w:rsidRPr="00894B0E">
        <w:rPr>
          <w:lang w:val="uk-UA"/>
        </w:rPr>
        <w:t>Пусконалагоджувальні роботи включають в себе:</w:t>
      </w:r>
    </w:p>
    <w:p w:rsidR="008E6251" w:rsidRPr="002E7E74" w:rsidRDefault="008E6251" w:rsidP="00864C2D">
      <w:pPr>
        <w:pStyle w:val="ListParagraph"/>
        <w:numPr>
          <w:ilvl w:val="0"/>
          <w:numId w:val="14"/>
        </w:numPr>
        <w:tabs>
          <w:tab w:val="left" w:pos="1080"/>
        </w:tabs>
        <w:contextualSpacing w:val="0"/>
        <w:jc w:val="both"/>
        <w:rPr>
          <w:lang w:val="uk-UA"/>
        </w:rPr>
      </w:pPr>
      <w:r w:rsidRPr="002E7E74">
        <w:t xml:space="preserve">встановлення до наявної серверної шафи </w:t>
      </w:r>
      <w:r w:rsidRPr="002E7E74">
        <w:rPr>
          <w:lang w:val="uk-UA"/>
        </w:rPr>
        <w:t>Обладнання у зборі;</w:t>
      </w:r>
    </w:p>
    <w:p w:rsidR="008E6251" w:rsidRPr="00864C2D" w:rsidRDefault="008E6251" w:rsidP="00864C2D">
      <w:pPr>
        <w:pStyle w:val="ListParagraph"/>
        <w:numPr>
          <w:ilvl w:val="0"/>
          <w:numId w:val="14"/>
        </w:numPr>
        <w:tabs>
          <w:tab w:val="left" w:pos="1080"/>
        </w:tabs>
        <w:ind w:left="0" w:firstLine="567"/>
        <w:rPr>
          <w:lang w:val="uk-UA"/>
        </w:rPr>
      </w:pPr>
      <w:r w:rsidRPr="00864C2D">
        <w:rPr>
          <w:lang w:val="uk-UA"/>
        </w:rPr>
        <w:t xml:space="preserve">конфігурування комутаторів Brocade 20 port 8Gb SAN Switch Module for BladeCenter (44X1924), що входять до складу серверної системи на базі </w:t>
      </w:r>
      <w:r w:rsidRPr="00864C2D">
        <w:rPr>
          <w:lang w:val="en-US"/>
        </w:rPr>
        <w:t>IBM</w:t>
      </w:r>
      <w:r w:rsidRPr="00864C2D">
        <w:rPr>
          <w:lang w:val="uk-UA"/>
        </w:rPr>
        <w:t xml:space="preserve"> </w:t>
      </w:r>
      <w:r w:rsidRPr="00864C2D">
        <w:rPr>
          <w:lang w:val="en-US"/>
        </w:rPr>
        <w:t>Blade</w:t>
      </w:r>
      <w:r w:rsidRPr="00864C2D">
        <w:rPr>
          <w:lang w:val="uk-UA"/>
        </w:rPr>
        <w:t xml:space="preserve"> </w:t>
      </w:r>
      <w:r w:rsidRPr="00864C2D">
        <w:rPr>
          <w:lang w:val="en-US"/>
        </w:rPr>
        <w:t>Centre</w:t>
      </w:r>
      <w:r w:rsidRPr="00864C2D">
        <w:rPr>
          <w:lang w:val="uk-UA"/>
        </w:rPr>
        <w:t>, (далі – Система) для підключення Обладнання до Системи;</w:t>
      </w:r>
    </w:p>
    <w:p w:rsidR="008E6251" w:rsidRPr="00864C2D" w:rsidRDefault="008E6251" w:rsidP="00864C2D">
      <w:pPr>
        <w:pStyle w:val="ListParagraph"/>
        <w:numPr>
          <w:ilvl w:val="0"/>
          <w:numId w:val="14"/>
        </w:numPr>
        <w:tabs>
          <w:tab w:val="left" w:pos="1080"/>
        </w:tabs>
        <w:ind w:left="0" w:firstLine="567"/>
        <w:rPr>
          <w:lang w:val="uk-UA"/>
        </w:rPr>
      </w:pPr>
      <w:r w:rsidRPr="00864C2D">
        <w:rPr>
          <w:lang w:val="uk-UA"/>
        </w:rPr>
        <w:t>конфігурування Обладнання для підключення до Системи.</w:t>
      </w:r>
    </w:p>
    <w:p w:rsidR="008E6251" w:rsidRPr="006D23AB" w:rsidRDefault="008E6251" w:rsidP="0076223D">
      <w:pPr>
        <w:pStyle w:val="ListParagraph"/>
        <w:numPr>
          <w:ilvl w:val="0"/>
          <w:numId w:val="10"/>
        </w:numPr>
        <w:tabs>
          <w:tab w:val="left" w:pos="1134"/>
        </w:tabs>
        <w:ind w:left="0" w:firstLine="567"/>
        <w:contextualSpacing w:val="0"/>
        <w:jc w:val="both"/>
        <w:rPr>
          <w:lang w:val="uk-UA"/>
        </w:rPr>
      </w:pPr>
      <w:r w:rsidRPr="006D23AB">
        <w:rPr>
          <w:lang w:val="uk-UA"/>
        </w:rPr>
        <w:t>Передача Обладнання Покупцю оформлюється шляхом підписання Сторонами Акт</w:t>
      </w:r>
      <w:r>
        <w:rPr>
          <w:lang w:val="uk-UA"/>
        </w:rPr>
        <w:t>у</w:t>
      </w:r>
      <w:r w:rsidRPr="006D23AB">
        <w:rPr>
          <w:lang w:val="uk-UA"/>
        </w:rPr>
        <w:t xml:space="preserve"> приймання-передачі Обладнання. Акт приймання-передачі Обладнання надається Постачальником Покупцю та підписується Покупцем протягом 7 (семи) робочих днів після перевірки якості, працездатності та комплектності  Обладнання, виконання Постачальником пусконалагоджувальних робіт.</w:t>
      </w:r>
    </w:p>
    <w:p w:rsidR="008E6251" w:rsidRPr="006D23AB" w:rsidRDefault="008E6251" w:rsidP="0076223D">
      <w:pPr>
        <w:pStyle w:val="ListParagraph"/>
        <w:numPr>
          <w:ilvl w:val="0"/>
          <w:numId w:val="10"/>
        </w:numPr>
        <w:tabs>
          <w:tab w:val="left" w:pos="1134"/>
        </w:tabs>
        <w:ind w:left="0" w:firstLine="567"/>
        <w:contextualSpacing w:val="0"/>
        <w:jc w:val="both"/>
        <w:rPr>
          <w:lang w:val="uk-UA"/>
        </w:rPr>
      </w:pPr>
      <w:r w:rsidRPr="006D23AB">
        <w:rPr>
          <w:lang w:val="uk-UA"/>
        </w:rPr>
        <w:t>У разі виявлення недоліків в Обладнанні або у якості проведених пусконалагоджувальних робіт</w:t>
      </w:r>
      <w:r>
        <w:rPr>
          <w:lang w:val="uk-UA"/>
        </w:rPr>
        <w:t>,</w:t>
      </w:r>
      <w:r w:rsidRPr="006D23AB">
        <w:rPr>
          <w:lang w:val="uk-UA"/>
        </w:rPr>
        <w:t xml:space="preserve">  Покупець має право не підписувати Акт приймання-передачі з наданням письмової мотивованої відмови від його підписання протягом 7 (семи) робочих днів після отримання Обладнання та завершення пусконалагоджувальних робіт.</w:t>
      </w:r>
    </w:p>
    <w:p w:rsidR="008E6251" w:rsidRPr="006D23AB" w:rsidRDefault="008E6251" w:rsidP="0076223D">
      <w:pPr>
        <w:pStyle w:val="ListParagraph"/>
        <w:numPr>
          <w:ilvl w:val="0"/>
          <w:numId w:val="10"/>
        </w:numPr>
        <w:tabs>
          <w:tab w:val="left" w:pos="1134"/>
        </w:tabs>
        <w:ind w:left="0" w:firstLine="567"/>
        <w:contextualSpacing w:val="0"/>
        <w:jc w:val="both"/>
        <w:rPr>
          <w:lang w:val="uk-UA"/>
        </w:rPr>
      </w:pPr>
      <w:r w:rsidRPr="006D23AB">
        <w:rPr>
          <w:lang w:val="uk-UA"/>
        </w:rPr>
        <w:t>Протягом 5 (п’яти) робочих днів з дня отримання письмової відмови Покупця від підписання Акт</w:t>
      </w:r>
      <w:r>
        <w:rPr>
          <w:lang w:val="uk-UA"/>
        </w:rPr>
        <w:t>у</w:t>
      </w:r>
      <w:r w:rsidRPr="006D23AB">
        <w:rPr>
          <w:lang w:val="uk-UA"/>
        </w:rPr>
        <w:t xml:space="preserve"> приймання-передачі Постачальник зобов'язаний замінити Обладнання, в якому виявлено недоліки, за власний рахунок та здійснити пусконалагоджувальні роботи. Після заміни неякісного Обладнання та проведення пусконалагоджувальних робіт, що відповідають умовам цього Договору</w:t>
      </w:r>
      <w:r>
        <w:rPr>
          <w:lang w:val="uk-UA"/>
        </w:rPr>
        <w:t>,</w:t>
      </w:r>
      <w:r w:rsidRPr="006D23AB">
        <w:rPr>
          <w:lang w:val="uk-UA"/>
        </w:rPr>
        <w:t xml:space="preserve"> Покупець зобов'язаний підписати Акт приймання-передачі.</w:t>
      </w:r>
    </w:p>
    <w:p w:rsidR="008E6251" w:rsidRPr="00B81571" w:rsidRDefault="008E6251" w:rsidP="0076223D">
      <w:pPr>
        <w:pStyle w:val="BodyTextIndent"/>
        <w:numPr>
          <w:ilvl w:val="0"/>
          <w:numId w:val="10"/>
        </w:numPr>
        <w:shd w:val="clear" w:color="auto" w:fill="auto"/>
        <w:tabs>
          <w:tab w:val="clear" w:pos="7349"/>
          <w:tab w:val="left" w:pos="1134"/>
        </w:tabs>
        <w:spacing w:after="0"/>
        <w:ind w:left="0" w:right="22" w:firstLine="567"/>
        <w:rPr>
          <w:b w:val="0"/>
          <w:lang w:eastAsia="en-US"/>
        </w:rPr>
      </w:pPr>
      <w:r w:rsidRPr="00B81571">
        <w:rPr>
          <w:b w:val="0"/>
          <w:lang w:eastAsia="en-US"/>
        </w:rPr>
        <w:t xml:space="preserve">Якщо Покупець протягом 7 (семи) робочих днів з дати отримання від Постачальника </w:t>
      </w:r>
      <w:r w:rsidRPr="00B81571">
        <w:rPr>
          <w:b w:val="0"/>
        </w:rPr>
        <w:t>Акту приймання-передачі</w:t>
      </w:r>
      <w:r w:rsidRPr="00B81571">
        <w:rPr>
          <w:b w:val="0"/>
          <w:lang w:eastAsia="en-US"/>
        </w:rPr>
        <w:t xml:space="preserve"> не підписав його та не надав письмової мотивованої відмови від його підписання, то Обладнання вважається прийнятим.</w:t>
      </w:r>
    </w:p>
    <w:p w:rsidR="008E6251" w:rsidRPr="00B81571" w:rsidRDefault="008E6251" w:rsidP="0076223D">
      <w:pPr>
        <w:pStyle w:val="BodyTextIndent"/>
        <w:numPr>
          <w:ilvl w:val="0"/>
          <w:numId w:val="10"/>
        </w:numPr>
        <w:shd w:val="clear" w:color="auto" w:fill="auto"/>
        <w:tabs>
          <w:tab w:val="clear" w:pos="7349"/>
          <w:tab w:val="left" w:pos="1134"/>
        </w:tabs>
        <w:spacing w:after="0"/>
        <w:ind w:left="0" w:right="22" w:firstLine="567"/>
        <w:rPr>
          <w:b w:val="0"/>
          <w:lang w:eastAsia="en-US"/>
        </w:rPr>
      </w:pPr>
      <w:r w:rsidRPr="00B81571">
        <w:rPr>
          <w:b w:val="0"/>
          <w:lang w:eastAsia="en-US"/>
        </w:rPr>
        <w:t>Обладнання повинно бути упаковане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Обладнання.</w:t>
      </w:r>
    </w:p>
    <w:p w:rsidR="008E6251" w:rsidRPr="00B81571" w:rsidRDefault="008E6251" w:rsidP="0076223D">
      <w:pPr>
        <w:pStyle w:val="BodyTextIndent"/>
        <w:numPr>
          <w:ilvl w:val="0"/>
          <w:numId w:val="10"/>
        </w:numPr>
        <w:shd w:val="clear" w:color="auto" w:fill="auto"/>
        <w:tabs>
          <w:tab w:val="clear" w:pos="7349"/>
          <w:tab w:val="left" w:pos="1134"/>
        </w:tabs>
        <w:spacing w:after="0"/>
        <w:ind w:left="0" w:right="22" w:firstLine="567"/>
        <w:rPr>
          <w:b w:val="0"/>
          <w:lang w:eastAsia="en-US"/>
        </w:rPr>
      </w:pPr>
      <w:r w:rsidRPr="00B81571">
        <w:rPr>
          <w:b w:val="0"/>
          <w:lang w:eastAsia="en-US"/>
        </w:rPr>
        <w:t>Всі роботи, які необхідно виконувати на місці встановлення Обладнання (монтаж, комутація та встановлення складових частин тощо)</w:t>
      </w:r>
      <w:r>
        <w:rPr>
          <w:b w:val="0"/>
          <w:lang w:eastAsia="en-US"/>
        </w:rPr>
        <w:t>,</w:t>
      </w:r>
      <w:r w:rsidRPr="00B81571">
        <w:rPr>
          <w:b w:val="0"/>
          <w:lang w:eastAsia="en-US"/>
        </w:rPr>
        <w:t xml:space="preserve"> виконуються фахівцями Постачальника в присутності представників Покупця.</w:t>
      </w:r>
    </w:p>
    <w:p w:rsidR="008E6251" w:rsidRDefault="008E6251" w:rsidP="0076223D">
      <w:pPr>
        <w:pStyle w:val="BodyTextIndent"/>
        <w:numPr>
          <w:ilvl w:val="0"/>
          <w:numId w:val="10"/>
        </w:numPr>
        <w:shd w:val="clear" w:color="auto" w:fill="auto"/>
        <w:tabs>
          <w:tab w:val="clear" w:pos="7349"/>
          <w:tab w:val="left" w:pos="1134"/>
        </w:tabs>
        <w:spacing w:after="0"/>
        <w:ind w:left="0" w:right="22" w:firstLine="567"/>
        <w:rPr>
          <w:b w:val="0"/>
          <w:lang w:eastAsia="en-US"/>
        </w:rPr>
      </w:pPr>
      <w:r w:rsidRPr="00B81571">
        <w:rPr>
          <w:b w:val="0"/>
          <w:lang w:eastAsia="en-US"/>
        </w:rPr>
        <w:t>У випадку неможливості усунути виявленні недоліки та/або замінити непрацездатне Обладнання</w:t>
      </w:r>
      <w:r>
        <w:rPr>
          <w:b w:val="0"/>
          <w:lang w:eastAsia="en-US"/>
        </w:rPr>
        <w:t>,</w:t>
      </w:r>
      <w:r w:rsidRPr="00B81571">
        <w:rPr>
          <w:b w:val="0"/>
          <w:lang w:eastAsia="en-US"/>
        </w:rPr>
        <w:t xml:space="preserve"> Постачальник зобов’язаний в 10-</w:t>
      </w:r>
      <w:r>
        <w:rPr>
          <w:b w:val="0"/>
          <w:lang w:eastAsia="en-US"/>
        </w:rPr>
        <w:t>ден</w:t>
      </w:r>
      <w:r w:rsidRPr="00B81571">
        <w:rPr>
          <w:b w:val="0"/>
          <w:lang w:eastAsia="en-US"/>
        </w:rPr>
        <w:t>ний строк повернути попередню оплату</w:t>
      </w:r>
      <w:r>
        <w:rPr>
          <w:b w:val="0"/>
          <w:lang w:eastAsia="en-US"/>
        </w:rPr>
        <w:t>,</w:t>
      </w:r>
      <w:r w:rsidRPr="00B81571">
        <w:rPr>
          <w:b w:val="0"/>
          <w:lang w:eastAsia="en-US"/>
        </w:rPr>
        <w:t xml:space="preserve"> здійснену відповідно до Договору.</w:t>
      </w:r>
    </w:p>
    <w:p w:rsidR="008E6251" w:rsidRPr="00B81571" w:rsidRDefault="008E6251" w:rsidP="00263CBC">
      <w:pPr>
        <w:pStyle w:val="BodyTextIndent"/>
        <w:shd w:val="clear" w:color="auto" w:fill="auto"/>
        <w:tabs>
          <w:tab w:val="clear" w:pos="7349"/>
          <w:tab w:val="left" w:pos="1134"/>
        </w:tabs>
        <w:spacing w:after="0"/>
        <w:ind w:right="22" w:firstLine="0"/>
        <w:rPr>
          <w:b w:val="0"/>
          <w:lang w:eastAsia="en-US"/>
        </w:rPr>
      </w:pPr>
    </w:p>
    <w:p w:rsidR="008E6251" w:rsidRPr="00A70481" w:rsidRDefault="008E6251" w:rsidP="0076223D">
      <w:pPr>
        <w:pStyle w:val="BodyTextIndent"/>
        <w:spacing w:after="0"/>
        <w:ind w:left="360"/>
        <w:jc w:val="center"/>
        <w:rPr>
          <w:b w:val="0"/>
          <w:bCs w:val="0"/>
          <w:snapToGrid w:val="0"/>
        </w:rPr>
      </w:pPr>
      <w:r>
        <w:rPr>
          <w:lang w:val="ru-RU"/>
        </w:rPr>
        <w:t xml:space="preserve">6. </w:t>
      </w:r>
      <w:r w:rsidRPr="00A70481">
        <w:t>ВІДПОВІДАЛЬНІСТЬ СТОРІН</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Порушення Договору є його невиконання або неналежне виконання, тобто виконання з порушенням умов, визначених змістом Договору.</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8E6251" w:rsidRDefault="008E6251" w:rsidP="00EE28D6">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 xml:space="preserve">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w:t>
      </w:r>
      <w:r w:rsidRPr="00EE28D6">
        <w:rPr>
          <w:b w:val="0"/>
          <w:snapToGrid w:val="0"/>
        </w:rPr>
        <w:t>належного виконання Договору.</w:t>
      </w:r>
    </w:p>
    <w:p w:rsidR="008E6251" w:rsidRPr="00EE28D6" w:rsidRDefault="008E6251" w:rsidP="00EE28D6">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EE28D6">
        <w:rPr>
          <w:b w:val="0"/>
          <w:snapToGrid w:val="0"/>
        </w:rPr>
        <w:t xml:space="preserve">За порушення </w:t>
      </w:r>
      <w:r w:rsidRPr="005C01D4">
        <w:rPr>
          <w:b w:val="0"/>
          <w:snapToGrid w:val="0"/>
          <w:highlight w:val="green"/>
        </w:rPr>
        <w:t>термінів</w:t>
      </w:r>
      <w:r w:rsidRPr="00EE28D6">
        <w:rPr>
          <w:b w:val="0"/>
          <w:snapToGrid w:val="0"/>
        </w:rPr>
        <w:t xml:space="preserve"> поставки, що передбачені Договором, Постачальник сплачує Покупцю неустойку (штраф), </w:t>
      </w:r>
      <w:r w:rsidRPr="00EE28D6">
        <w:rPr>
          <w:b w:val="0"/>
          <w:lang w:eastAsia="en-US"/>
        </w:rPr>
        <w:t>у розмірі 0,5% від загальної вартості Договору</w:t>
      </w:r>
      <w:r w:rsidRPr="00EE28D6">
        <w:rPr>
          <w:b w:val="0"/>
          <w:snapToGrid w:val="0"/>
        </w:rPr>
        <w:t>.</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 xml:space="preserve">За порушення строків оплати, що передбачені </w:t>
      </w:r>
      <w:r>
        <w:rPr>
          <w:b w:val="0"/>
          <w:snapToGrid w:val="0"/>
        </w:rPr>
        <w:t xml:space="preserve">цим </w:t>
      </w:r>
      <w:r w:rsidRPr="000A5379">
        <w:rPr>
          <w:b w:val="0"/>
          <w:snapToGrid w:val="0"/>
        </w:rPr>
        <w:t xml:space="preserve">Договором, Покупець сплачує Постачальнику неустойку (пеню) у розмірі 0,1% від </w:t>
      </w:r>
      <w:r>
        <w:rPr>
          <w:b w:val="0"/>
          <w:snapToGrid w:val="0"/>
        </w:rPr>
        <w:t xml:space="preserve">загальної </w:t>
      </w:r>
      <w:r w:rsidRPr="000A5379">
        <w:rPr>
          <w:b w:val="0"/>
          <w:snapToGrid w:val="0"/>
        </w:rPr>
        <w:t>вартості</w:t>
      </w:r>
      <w:r>
        <w:rPr>
          <w:b w:val="0"/>
          <w:snapToGrid w:val="0"/>
        </w:rPr>
        <w:t xml:space="preserve"> цього Договору </w:t>
      </w:r>
      <w:r w:rsidRPr="000A5379">
        <w:rPr>
          <w:b w:val="0"/>
          <w:snapToGrid w:val="0"/>
        </w:rPr>
        <w:t>за кожен день прострочення оплати</w:t>
      </w:r>
      <w:r>
        <w:rPr>
          <w:b w:val="0"/>
          <w:snapToGrid w:val="0"/>
        </w:rPr>
        <w:t>,</w:t>
      </w:r>
      <w:r w:rsidRPr="000A5379">
        <w:rPr>
          <w:b w:val="0"/>
          <w:snapToGrid w:val="0"/>
        </w:rPr>
        <w:t xml:space="preserve"> але не більше подвійної облікової ставки НБУ, що діяла на момент прострочення.</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Сплата Стороною штрафу та пені не звільняє її від обов’язку виконати Договір в натурі.</w:t>
      </w:r>
    </w:p>
    <w:p w:rsidR="008E6251" w:rsidRPr="000A5379" w:rsidRDefault="008E6251" w:rsidP="0076223D">
      <w:pPr>
        <w:pStyle w:val="BodyTextIndent"/>
        <w:numPr>
          <w:ilvl w:val="0"/>
          <w:numId w:val="5"/>
        </w:numPr>
        <w:shd w:val="clear" w:color="auto" w:fill="auto"/>
        <w:tabs>
          <w:tab w:val="clear" w:pos="7349"/>
          <w:tab w:val="left" w:pos="1134"/>
        </w:tabs>
        <w:spacing w:after="0"/>
        <w:ind w:left="0" w:right="22" w:firstLine="567"/>
        <w:rPr>
          <w:b w:val="0"/>
          <w:bCs w:val="0"/>
          <w:snapToGrid w:val="0"/>
        </w:rPr>
      </w:pPr>
      <w:r w:rsidRPr="000A5379">
        <w:rPr>
          <w:b w:val="0"/>
          <w:snapToGrid w:val="0"/>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8E6251" w:rsidRPr="00236C9E" w:rsidRDefault="008E6251" w:rsidP="0076223D">
      <w:pPr>
        <w:pStyle w:val="BodyTextIndent"/>
        <w:tabs>
          <w:tab w:val="left" w:pos="1134"/>
        </w:tabs>
        <w:spacing w:after="0"/>
        <w:ind w:left="567" w:firstLine="0"/>
      </w:pPr>
    </w:p>
    <w:p w:rsidR="008E6251" w:rsidRPr="00A70481" w:rsidRDefault="008E6251" w:rsidP="0076223D">
      <w:pPr>
        <w:pStyle w:val="BodyTextIndent"/>
        <w:spacing w:after="0"/>
        <w:ind w:left="360"/>
        <w:jc w:val="center"/>
        <w:rPr>
          <w:b w:val="0"/>
          <w:bCs w:val="0"/>
          <w:snapToGrid w:val="0"/>
        </w:rPr>
      </w:pPr>
      <w:r>
        <w:rPr>
          <w:snapToGrid w:val="0"/>
          <w:lang w:val="ru-RU"/>
        </w:rPr>
        <w:t xml:space="preserve">7. </w:t>
      </w:r>
      <w:r w:rsidRPr="00A70481">
        <w:rPr>
          <w:snapToGrid w:val="0"/>
        </w:rPr>
        <w:t xml:space="preserve">ПРАВА ТА ОБОВ’ЯЗКИ СТОРІН </w:t>
      </w:r>
    </w:p>
    <w:p w:rsidR="008E6251" w:rsidRDefault="008E6251" w:rsidP="0076223D">
      <w:pPr>
        <w:pStyle w:val="BodyTextIndent"/>
        <w:numPr>
          <w:ilvl w:val="0"/>
          <w:numId w:val="4"/>
        </w:numPr>
        <w:shd w:val="clear" w:color="auto" w:fill="auto"/>
        <w:tabs>
          <w:tab w:val="clear" w:pos="7349"/>
          <w:tab w:val="left" w:pos="1134"/>
        </w:tabs>
        <w:spacing w:after="0"/>
        <w:ind w:left="0" w:right="22" w:firstLine="567"/>
        <w:rPr>
          <w:b w:val="0"/>
        </w:rPr>
      </w:pPr>
      <w:r w:rsidRPr="000A5379">
        <w:rPr>
          <w:b w:val="0"/>
          <w:snapToGrid w:val="0"/>
        </w:rPr>
        <w:t xml:space="preserve">Постачальник зобов’язаний здійснити </w:t>
      </w:r>
      <w:r w:rsidRPr="000A5379">
        <w:rPr>
          <w:b w:val="0"/>
        </w:rPr>
        <w:t xml:space="preserve">поставку якісного Обладнання </w:t>
      </w:r>
      <w:r>
        <w:rPr>
          <w:b w:val="0"/>
        </w:rPr>
        <w:t xml:space="preserve">та виконати пусконалагоджувальні роботи </w:t>
      </w:r>
      <w:r w:rsidRPr="000A5379">
        <w:rPr>
          <w:b w:val="0"/>
        </w:rPr>
        <w:t xml:space="preserve">згідно </w:t>
      </w:r>
      <w:bookmarkStart w:id="0" w:name="_GoBack"/>
      <w:bookmarkEnd w:id="0"/>
      <w:r w:rsidRPr="000A5379">
        <w:rPr>
          <w:b w:val="0"/>
        </w:rPr>
        <w:t xml:space="preserve">з умовами цього Договору не пізніше </w:t>
      </w:r>
      <w:r>
        <w:rPr>
          <w:b w:val="0"/>
        </w:rPr>
        <w:t>40</w:t>
      </w:r>
      <w:r w:rsidRPr="000A5379">
        <w:rPr>
          <w:b w:val="0"/>
        </w:rPr>
        <w:t> </w:t>
      </w:r>
      <w:r w:rsidRPr="00F364CB">
        <w:rPr>
          <w:b w:val="0"/>
        </w:rPr>
        <w:t>(</w:t>
      </w:r>
      <w:r>
        <w:rPr>
          <w:b w:val="0"/>
        </w:rPr>
        <w:t>сорока</w:t>
      </w:r>
      <w:r w:rsidRPr="00F364CB">
        <w:rPr>
          <w:b w:val="0"/>
        </w:rPr>
        <w:t>)</w:t>
      </w:r>
      <w:r w:rsidRPr="006D23AB">
        <w:t xml:space="preserve"> </w:t>
      </w:r>
      <w:r w:rsidRPr="008E200E">
        <w:rPr>
          <w:b w:val="0"/>
        </w:rPr>
        <w:t>календарних</w:t>
      </w:r>
      <w:r w:rsidRPr="000A5379">
        <w:rPr>
          <w:b w:val="0"/>
        </w:rPr>
        <w:t xml:space="preserve"> днів з дня укладання Договору.</w:t>
      </w:r>
    </w:p>
    <w:p w:rsidR="008E6251" w:rsidRPr="00F364CB" w:rsidRDefault="008E6251" w:rsidP="0076223D">
      <w:pPr>
        <w:pStyle w:val="BodyTextIndent"/>
        <w:numPr>
          <w:ilvl w:val="0"/>
          <w:numId w:val="4"/>
        </w:numPr>
        <w:shd w:val="clear" w:color="auto" w:fill="auto"/>
        <w:tabs>
          <w:tab w:val="clear" w:pos="7349"/>
          <w:tab w:val="left" w:pos="1134"/>
        </w:tabs>
        <w:spacing w:after="0"/>
        <w:ind w:left="0" w:right="22" w:firstLine="567"/>
        <w:rPr>
          <w:b w:val="0"/>
          <w:snapToGrid w:val="0"/>
        </w:rPr>
      </w:pPr>
      <w:r w:rsidRPr="00F364CB">
        <w:rPr>
          <w:b w:val="0"/>
          <w:snapToGrid w:val="0"/>
        </w:rPr>
        <w:t>Постачальник зобов’язаний забезпечити поставку Обладнання, якість  якого  відповідає  умовам, встановленим цим Договором.</w:t>
      </w:r>
    </w:p>
    <w:p w:rsidR="008E6251" w:rsidRPr="00F364CB" w:rsidRDefault="008E6251" w:rsidP="0076223D">
      <w:pPr>
        <w:pStyle w:val="BodyTextIndent"/>
        <w:numPr>
          <w:ilvl w:val="0"/>
          <w:numId w:val="4"/>
        </w:numPr>
        <w:shd w:val="clear" w:color="auto" w:fill="auto"/>
        <w:tabs>
          <w:tab w:val="clear" w:pos="7349"/>
          <w:tab w:val="left" w:pos="1134"/>
        </w:tabs>
        <w:spacing w:after="0"/>
        <w:ind w:left="0" w:right="22" w:firstLine="567"/>
        <w:rPr>
          <w:b w:val="0"/>
          <w:color w:val="000000"/>
          <w:w w:val="102"/>
        </w:rPr>
      </w:pPr>
      <w:r w:rsidRPr="00F364CB">
        <w:rPr>
          <w:b w:val="0"/>
          <w:snapToGrid w:val="0"/>
        </w:rPr>
        <w:t>Постачальник зобов’язаний здійснювати безкоштовне гарантійне обслуговування відповідно до умов  Договору</w:t>
      </w:r>
      <w:r w:rsidRPr="00F364CB">
        <w:rPr>
          <w:b w:val="0"/>
          <w:color w:val="000000"/>
          <w:w w:val="102"/>
        </w:rPr>
        <w:t>.</w:t>
      </w:r>
    </w:p>
    <w:p w:rsidR="008E6251" w:rsidRPr="009F2F1C" w:rsidRDefault="008E6251" w:rsidP="0076223D">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0A5379">
        <w:rPr>
          <w:b w:val="0"/>
          <w:snapToGrid w:val="0"/>
        </w:rPr>
        <w:t>Постачальник має право своєчасно та в повному обсязі  отримувати  плату  за поставлене Обладнання</w:t>
      </w:r>
      <w:r w:rsidRPr="00F364CB">
        <w:rPr>
          <w:b w:val="0"/>
          <w:lang w:eastAsia="en-US"/>
        </w:rPr>
        <w:t>, що здійснюється в порядку, передбаченому цим Договором</w:t>
      </w:r>
      <w:r w:rsidRPr="00F364CB">
        <w:rPr>
          <w:b w:val="0"/>
          <w:snapToGrid w:val="0"/>
        </w:rPr>
        <w:t>.</w:t>
      </w:r>
    </w:p>
    <w:p w:rsidR="008E6251" w:rsidRPr="009F2F1C" w:rsidRDefault="008E6251" w:rsidP="009F2F1C">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5501E6">
        <w:rPr>
          <w:b w:val="0"/>
        </w:rPr>
        <w:t>Постачальник має право, у разі невиконання зобов'язань Покупцем, достроково розірвати цей Договір, письмово повідомивши про це Покупця у строк до 14 (чотирнадцяти) календарних днів до дати розірвання цього Договору.</w:t>
      </w:r>
    </w:p>
    <w:p w:rsidR="008E6251" w:rsidRPr="000A5379" w:rsidRDefault="008E6251" w:rsidP="0076223D">
      <w:pPr>
        <w:pStyle w:val="BodyTextIndent"/>
        <w:numPr>
          <w:ilvl w:val="0"/>
          <w:numId w:val="4"/>
        </w:numPr>
        <w:shd w:val="clear" w:color="auto" w:fill="auto"/>
        <w:tabs>
          <w:tab w:val="clear" w:pos="7349"/>
          <w:tab w:val="left" w:pos="-1620"/>
          <w:tab w:val="left" w:pos="1134"/>
        </w:tabs>
        <w:spacing w:after="0"/>
        <w:ind w:left="0" w:right="22" w:firstLine="567"/>
        <w:rPr>
          <w:b w:val="0"/>
        </w:rPr>
      </w:pPr>
      <w:r w:rsidRPr="000A5379">
        <w:rPr>
          <w:b w:val="0"/>
          <w:snapToGrid w:val="0"/>
        </w:rPr>
        <w:t xml:space="preserve">Покупець зобов’язаний </w:t>
      </w:r>
      <w:r w:rsidRPr="000A5379">
        <w:rPr>
          <w:b w:val="0"/>
        </w:rPr>
        <w:t>прийняти від Постачальника Обладнання, якщо воно відповідає умовам Договору і розрахуватися за нього в порядку, передбаченому Договором.</w:t>
      </w:r>
    </w:p>
    <w:p w:rsidR="008E6251" w:rsidRPr="000A5379" w:rsidRDefault="008E6251" w:rsidP="0076223D">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0A5379">
        <w:rPr>
          <w:b w:val="0"/>
          <w:snapToGrid w:val="0"/>
        </w:rPr>
        <w:t xml:space="preserve">Покупець має право </w:t>
      </w:r>
      <w:r w:rsidRPr="000A5379">
        <w:rPr>
          <w:b w:val="0"/>
        </w:rPr>
        <w:t>отримати від Постачальника Обладнання належної якості та у строки, передбачені Договором.</w:t>
      </w:r>
    </w:p>
    <w:p w:rsidR="008E6251" w:rsidRPr="009F2F1C" w:rsidRDefault="008E6251" w:rsidP="0076223D">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0A5379">
        <w:rPr>
          <w:b w:val="0"/>
          <w:snapToGrid w:val="0"/>
        </w:rPr>
        <w:t xml:space="preserve">Покупець має право повернути рахунок-фактуру </w:t>
      </w:r>
      <w:r w:rsidRPr="000A5379">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8E6251" w:rsidRPr="009F2F1C" w:rsidRDefault="008E6251" w:rsidP="009F2F1C">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0B14E4">
        <w:rPr>
          <w:b w:val="0"/>
          <w:lang w:eastAsia="en-US"/>
        </w:rPr>
        <w:t>Покупець має право достроково розірвати цей Договір у разі невиконання зобов’язань Постачальником, письмово повідомивши про це його у строк до 14 (чотирнадцяти) календарних днів до дати розірвання цього Договору.</w:t>
      </w:r>
    </w:p>
    <w:p w:rsidR="008E6251" w:rsidRPr="00F364CB" w:rsidRDefault="008E6251" w:rsidP="0076223D">
      <w:pPr>
        <w:pStyle w:val="BodyTextIndent"/>
        <w:numPr>
          <w:ilvl w:val="0"/>
          <w:numId w:val="4"/>
        </w:numPr>
        <w:shd w:val="clear" w:color="auto" w:fill="auto"/>
        <w:tabs>
          <w:tab w:val="clear" w:pos="7349"/>
          <w:tab w:val="left" w:pos="1134"/>
        </w:tabs>
        <w:spacing w:after="0"/>
        <w:ind w:left="0" w:right="22" w:firstLine="567"/>
        <w:rPr>
          <w:b w:val="0"/>
          <w:bCs w:val="0"/>
          <w:snapToGrid w:val="0"/>
        </w:rPr>
      </w:pPr>
      <w:r w:rsidRPr="000A5379">
        <w:rPr>
          <w:b w:val="0"/>
          <w:snapToGrid w:val="0"/>
        </w:rPr>
        <w:t>У випадку дострокового розірвання Договору та до моменту передачі Обладнання</w:t>
      </w:r>
      <w:r>
        <w:rPr>
          <w:b w:val="0"/>
          <w:snapToGrid w:val="0"/>
        </w:rPr>
        <w:t>,</w:t>
      </w:r>
      <w:r w:rsidRPr="000A5379">
        <w:rPr>
          <w:b w:val="0"/>
          <w:snapToGrid w:val="0"/>
        </w:rPr>
        <w:t xml:space="preserve"> Постачальник зобов’язаний у строк до 10 (десяти) робочих днів повернути Покупцю попередню оплату, сплачену відповідно до Договору. </w:t>
      </w:r>
    </w:p>
    <w:p w:rsidR="008E6251" w:rsidRPr="00F364CB" w:rsidRDefault="008E6251" w:rsidP="0076223D">
      <w:pPr>
        <w:pStyle w:val="BodyTextIndent"/>
        <w:numPr>
          <w:ilvl w:val="0"/>
          <w:numId w:val="4"/>
        </w:numPr>
        <w:shd w:val="clear" w:color="auto" w:fill="auto"/>
        <w:tabs>
          <w:tab w:val="clear" w:pos="7349"/>
          <w:tab w:val="left" w:pos="1134"/>
        </w:tabs>
        <w:spacing w:after="0"/>
        <w:ind w:left="0" w:right="22" w:firstLine="567"/>
        <w:rPr>
          <w:b w:val="0"/>
          <w:snapToGrid w:val="0"/>
        </w:rPr>
      </w:pPr>
      <w:r w:rsidRPr="00F364CB">
        <w:rPr>
          <w:b w:val="0"/>
          <w:snapToGrid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8E6251" w:rsidRPr="000A5379" w:rsidRDefault="008E6251" w:rsidP="0076223D">
      <w:pPr>
        <w:pStyle w:val="BodyTextIndent"/>
        <w:shd w:val="clear" w:color="auto" w:fill="auto"/>
        <w:tabs>
          <w:tab w:val="clear" w:pos="7349"/>
          <w:tab w:val="left" w:pos="1134"/>
        </w:tabs>
        <w:spacing w:after="0"/>
        <w:ind w:left="567" w:right="22" w:firstLine="0"/>
        <w:rPr>
          <w:b w:val="0"/>
          <w:bCs w:val="0"/>
          <w:snapToGrid w:val="0"/>
        </w:rPr>
      </w:pPr>
    </w:p>
    <w:p w:rsidR="008E6251" w:rsidRPr="00A70481" w:rsidRDefault="008E6251" w:rsidP="0076223D">
      <w:pPr>
        <w:pStyle w:val="BodyTextIndent"/>
        <w:tabs>
          <w:tab w:val="left" w:pos="900"/>
          <w:tab w:val="left" w:pos="993"/>
        </w:tabs>
        <w:spacing w:after="0"/>
        <w:ind w:left="450"/>
        <w:jc w:val="center"/>
        <w:rPr>
          <w:b w:val="0"/>
          <w:bCs w:val="0"/>
          <w:snapToGrid w:val="0"/>
        </w:rPr>
      </w:pPr>
      <w:r>
        <w:rPr>
          <w:snapToGrid w:val="0"/>
          <w:lang w:val="ru-RU"/>
        </w:rPr>
        <w:t xml:space="preserve">8. </w:t>
      </w:r>
      <w:r w:rsidRPr="00A70481">
        <w:rPr>
          <w:snapToGrid w:val="0"/>
        </w:rPr>
        <w:t>ОБСТАВИНИ НЕПЕРЕБОРНОЇ СИЛИ</w:t>
      </w:r>
    </w:p>
    <w:p w:rsidR="008E6251" w:rsidRPr="0015631B" w:rsidRDefault="008E6251" w:rsidP="0076223D">
      <w:pPr>
        <w:pStyle w:val="BodyTextIndent"/>
        <w:numPr>
          <w:ilvl w:val="0"/>
          <w:numId w:val="6"/>
        </w:numPr>
        <w:shd w:val="clear" w:color="auto" w:fill="auto"/>
        <w:tabs>
          <w:tab w:val="clear" w:pos="7349"/>
          <w:tab w:val="left" w:pos="0"/>
          <w:tab w:val="left" w:pos="1134"/>
        </w:tabs>
        <w:spacing w:after="0"/>
        <w:ind w:left="0" w:right="22" w:firstLine="567"/>
        <w:rPr>
          <w:b w:val="0"/>
          <w:lang w:eastAsia="en-US"/>
        </w:rPr>
      </w:pPr>
      <w:r w:rsidRPr="0015631B">
        <w:rPr>
          <w:b w:val="0"/>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8E6251" w:rsidRPr="000A5379" w:rsidRDefault="008E6251" w:rsidP="0076223D">
      <w:pPr>
        <w:pStyle w:val="BodyTextIndent"/>
        <w:numPr>
          <w:ilvl w:val="0"/>
          <w:numId w:val="6"/>
        </w:numPr>
        <w:shd w:val="clear" w:color="auto" w:fill="auto"/>
        <w:tabs>
          <w:tab w:val="clear" w:pos="7349"/>
          <w:tab w:val="left" w:pos="0"/>
          <w:tab w:val="left" w:pos="1134"/>
        </w:tabs>
        <w:spacing w:after="0"/>
        <w:ind w:left="0" w:right="22" w:firstLine="567"/>
        <w:rPr>
          <w:b w:val="0"/>
          <w:lang w:eastAsia="en-US"/>
        </w:rPr>
      </w:pPr>
      <w:r w:rsidRPr="000A5379">
        <w:rPr>
          <w:b w:val="0"/>
          <w:lang w:eastAsia="en-US"/>
        </w:rPr>
        <w:t>При настанні обставин непереборної сили Сторони звільняються від відповідальності за повне чи частков</w:t>
      </w:r>
      <w:r>
        <w:rPr>
          <w:b w:val="0"/>
          <w:lang w:eastAsia="en-US"/>
        </w:rPr>
        <w:t>е невиконання зобов'язань за</w:t>
      </w:r>
      <w:r w:rsidRPr="000A5379">
        <w:rPr>
          <w:b w:val="0"/>
          <w:lang w:eastAsia="en-US"/>
        </w:rPr>
        <w:t xml:space="preserve"> Договором на термін дії таких обставин і усунення їх наслідків.</w:t>
      </w:r>
    </w:p>
    <w:p w:rsidR="008E6251" w:rsidRPr="000A5379" w:rsidRDefault="008E6251" w:rsidP="0076223D">
      <w:pPr>
        <w:pStyle w:val="BodyTextIndent"/>
        <w:numPr>
          <w:ilvl w:val="0"/>
          <w:numId w:val="6"/>
        </w:numPr>
        <w:shd w:val="clear" w:color="auto" w:fill="auto"/>
        <w:tabs>
          <w:tab w:val="clear" w:pos="7349"/>
          <w:tab w:val="left" w:pos="0"/>
          <w:tab w:val="left" w:pos="1134"/>
        </w:tabs>
        <w:spacing w:after="0"/>
        <w:ind w:left="0" w:right="22" w:firstLine="567"/>
        <w:rPr>
          <w:b w:val="0"/>
          <w:lang w:eastAsia="en-US"/>
        </w:rPr>
      </w:pPr>
      <w:r w:rsidRPr="000A5379">
        <w:rPr>
          <w:b w:val="0"/>
          <w:lang w:eastAsia="en-US"/>
        </w:rPr>
        <w:t>Наявність обставин непереборної сили підтверджується відповідною довідкою (сертифікатом) Торгово-промислової палати України.</w:t>
      </w:r>
    </w:p>
    <w:p w:rsidR="008E6251" w:rsidRPr="000A5379" w:rsidRDefault="008E6251" w:rsidP="0076223D">
      <w:pPr>
        <w:pStyle w:val="BodyTextIndent"/>
        <w:numPr>
          <w:ilvl w:val="0"/>
          <w:numId w:val="6"/>
        </w:numPr>
        <w:shd w:val="clear" w:color="auto" w:fill="auto"/>
        <w:tabs>
          <w:tab w:val="clear" w:pos="7349"/>
          <w:tab w:val="left" w:pos="0"/>
          <w:tab w:val="left" w:pos="1134"/>
        </w:tabs>
        <w:spacing w:after="0"/>
        <w:ind w:left="0" w:right="22" w:firstLine="567"/>
        <w:rPr>
          <w:b w:val="0"/>
          <w:lang w:eastAsia="en-US"/>
        </w:rPr>
      </w:pPr>
      <w:r w:rsidRPr="000A5379">
        <w:rPr>
          <w:b w:val="0"/>
          <w:lang w:eastAsia="en-US"/>
        </w:rPr>
        <w:t>Потерпіла Сторона, протягом 3 (трьох) календарних днів з дня настання обставин непереборної сили</w:t>
      </w:r>
      <w:r>
        <w:rPr>
          <w:b w:val="0"/>
          <w:lang w:eastAsia="en-US"/>
        </w:rPr>
        <w:t>,</w:t>
      </w:r>
      <w:r w:rsidRPr="000A5379">
        <w:rPr>
          <w:b w:val="0"/>
          <w:lang w:eastAsia="en-US"/>
        </w:rPr>
        <w:t xml:space="preserve"> надає письмове повідомлення іншій Стороні про настання для неї таких обставин та інформацію про вжиті заходи щодо усунення їх наслідків.</w:t>
      </w:r>
    </w:p>
    <w:p w:rsidR="008E6251" w:rsidRDefault="008E6251" w:rsidP="0076223D">
      <w:pPr>
        <w:pStyle w:val="BodyTextIndent"/>
        <w:spacing w:after="0"/>
        <w:ind w:firstLine="0"/>
        <w:jc w:val="center"/>
        <w:rPr>
          <w:b w:val="0"/>
        </w:rPr>
      </w:pPr>
    </w:p>
    <w:p w:rsidR="008E6251" w:rsidRPr="00A70481" w:rsidRDefault="008E6251" w:rsidP="0076223D">
      <w:pPr>
        <w:pStyle w:val="BodyTextIndent"/>
        <w:spacing w:after="0"/>
        <w:ind w:firstLine="0"/>
        <w:jc w:val="center"/>
        <w:rPr>
          <w:b w:val="0"/>
        </w:rPr>
      </w:pPr>
      <w:r>
        <w:rPr>
          <w:lang w:val="ru-RU"/>
        </w:rPr>
        <w:t xml:space="preserve">9. </w:t>
      </w:r>
      <w:r w:rsidRPr="00A70481">
        <w:t>СТРОК ДІЇ ДОГОВОРУ</w:t>
      </w:r>
    </w:p>
    <w:p w:rsidR="008E6251" w:rsidRPr="000A5379" w:rsidRDefault="008E6251" w:rsidP="0076223D">
      <w:pPr>
        <w:pStyle w:val="BodyTextIndent"/>
        <w:numPr>
          <w:ilvl w:val="0"/>
          <w:numId w:val="7"/>
        </w:numPr>
        <w:shd w:val="clear" w:color="auto" w:fill="auto"/>
        <w:tabs>
          <w:tab w:val="clear" w:pos="7349"/>
          <w:tab w:val="left" w:pos="1134"/>
        </w:tabs>
        <w:spacing w:after="0"/>
        <w:ind w:left="0" w:right="22" w:firstLine="567"/>
        <w:rPr>
          <w:b w:val="0"/>
          <w:lang w:val="ru-RU"/>
        </w:rPr>
      </w:pPr>
      <w:r w:rsidRPr="000A5379">
        <w:rPr>
          <w:b w:val="0"/>
        </w:rPr>
        <w:t>Договір набирає чинності з моменту його підписання уповноваженими представниками Сторін та скріплення їх</w:t>
      </w:r>
      <w:r>
        <w:rPr>
          <w:b w:val="0"/>
        </w:rPr>
        <w:t xml:space="preserve"> підписів </w:t>
      </w:r>
      <w:r w:rsidRPr="000A5379">
        <w:rPr>
          <w:b w:val="0"/>
        </w:rPr>
        <w:t xml:space="preserve">печатками і діє до </w:t>
      </w:r>
      <w:r w:rsidRPr="000A5379">
        <w:rPr>
          <w:b w:val="0"/>
          <w:lang w:val="ru-RU"/>
        </w:rPr>
        <w:t>31</w:t>
      </w:r>
      <w:r w:rsidRPr="000A5379">
        <w:rPr>
          <w:b w:val="0"/>
        </w:rPr>
        <w:t>.</w:t>
      </w:r>
      <w:r w:rsidRPr="000A5379">
        <w:rPr>
          <w:b w:val="0"/>
          <w:lang w:val="ru-RU"/>
        </w:rPr>
        <w:t>12</w:t>
      </w:r>
      <w:r w:rsidRPr="000A5379">
        <w:rPr>
          <w:b w:val="0"/>
        </w:rPr>
        <w:t>.2016 року включно, але в будь-якому разі до повного виконання Сторонами своїх зобов’язань за Договором.</w:t>
      </w:r>
    </w:p>
    <w:p w:rsidR="008E6251" w:rsidRPr="00DD0FB5" w:rsidRDefault="008E6251" w:rsidP="0076223D">
      <w:pPr>
        <w:pStyle w:val="BodyTextIndent"/>
        <w:tabs>
          <w:tab w:val="left" w:pos="900"/>
          <w:tab w:val="left" w:pos="993"/>
        </w:tabs>
        <w:spacing w:after="0"/>
        <w:ind w:firstLine="567"/>
        <w:rPr>
          <w:lang w:val="ru-RU"/>
        </w:rPr>
      </w:pPr>
    </w:p>
    <w:p w:rsidR="008E6251" w:rsidRDefault="008E6251" w:rsidP="0076223D">
      <w:pPr>
        <w:pStyle w:val="BodyTextIndent"/>
        <w:spacing w:after="0"/>
        <w:ind w:firstLine="0"/>
        <w:jc w:val="center"/>
        <w:rPr>
          <w:caps/>
        </w:rPr>
      </w:pPr>
      <w:r>
        <w:rPr>
          <w:caps/>
          <w:lang w:val="ru-RU"/>
        </w:rPr>
        <w:t xml:space="preserve">10. </w:t>
      </w:r>
      <w:r w:rsidRPr="00DD0FB5">
        <w:rPr>
          <w:caps/>
        </w:rPr>
        <w:t>Прикінцеві положення</w:t>
      </w:r>
    </w:p>
    <w:p w:rsidR="008E6251" w:rsidRPr="002C68DF" w:rsidRDefault="008E6251" w:rsidP="00EE28D6">
      <w:pPr>
        <w:pStyle w:val="BodyTextIndent"/>
        <w:tabs>
          <w:tab w:val="left" w:pos="-2520"/>
          <w:tab w:val="left" w:pos="360"/>
          <w:tab w:val="left" w:pos="1260"/>
        </w:tabs>
        <w:spacing w:after="0"/>
        <w:ind w:firstLine="567"/>
        <w:rPr>
          <w:b w:val="0"/>
        </w:rPr>
      </w:pPr>
      <w:r w:rsidRPr="002C68DF">
        <w:rPr>
          <w:b w:val="0"/>
        </w:rPr>
        <w:t>1</w:t>
      </w:r>
      <w:r>
        <w:rPr>
          <w:b w:val="0"/>
        </w:rPr>
        <w:t>0</w:t>
      </w:r>
      <w:r w:rsidRPr="002C68DF">
        <w:rPr>
          <w:b w:val="0"/>
        </w:rPr>
        <w:t xml:space="preserve">.1.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8E6251" w:rsidRDefault="008E6251" w:rsidP="0076223D">
      <w:pPr>
        <w:pStyle w:val="1"/>
        <w:tabs>
          <w:tab w:val="left" w:pos="1134"/>
        </w:tabs>
        <w:ind w:left="0" w:firstLine="540"/>
        <w:jc w:val="both"/>
        <w:rPr>
          <w:bCs/>
          <w:lang w:val="uk-UA"/>
        </w:rPr>
      </w:pPr>
      <w:r w:rsidRPr="002C68DF">
        <w:rPr>
          <w:bCs/>
          <w:lang w:val="uk-UA"/>
        </w:rPr>
        <w:t>1</w:t>
      </w:r>
      <w:r>
        <w:rPr>
          <w:bCs/>
          <w:lang w:val="uk-UA"/>
        </w:rPr>
        <w:t>0</w:t>
      </w:r>
      <w:r w:rsidRPr="002C68DF">
        <w:rPr>
          <w:bCs/>
          <w:lang w:val="uk-UA"/>
        </w:rPr>
        <w:t>.2. На момент укладенн</w:t>
      </w:r>
      <w:r>
        <w:rPr>
          <w:bCs/>
          <w:lang w:val="uk-UA"/>
        </w:rPr>
        <w:t>я Договору Покупець є платником</w:t>
      </w:r>
      <w:r w:rsidRPr="002C68DF">
        <w:rPr>
          <w:bCs/>
          <w:lang w:val="uk-UA"/>
        </w:rPr>
        <w:t xml:space="preserve"> податку на прибуток підприємств на загальних умовах згідно з чинним законодавством України. Постачальник  ______________________________</w:t>
      </w:r>
      <w:r>
        <w:rPr>
          <w:bCs/>
          <w:lang w:val="uk-UA"/>
        </w:rPr>
        <w:t>____________________________________________________</w:t>
      </w:r>
      <w:r w:rsidRPr="002C68DF">
        <w:rPr>
          <w:bCs/>
          <w:lang w:val="uk-UA"/>
        </w:rPr>
        <w:t>.</w:t>
      </w:r>
    </w:p>
    <w:p w:rsidR="008E6251" w:rsidRPr="002C68DF" w:rsidRDefault="008E6251" w:rsidP="0076223D">
      <w:pPr>
        <w:pStyle w:val="BodyTextIndent"/>
        <w:shd w:val="clear" w:color="auto" w:fill="auto"/>
        <w:tabs>
          <w:tab w:val="clear" w:pos="7349"/>
          <w:tab w:val="left" w:pos="540"/>
          <w:tab w:val="left" w:pos="1080"/>
        </w:tabs>
        <w:spacing w:after="0"/>
        <w:rPr>
          <w:b w:val="0"/>
        </w:rPr>
      </w:pPr>
      <w:r>
        <w:rPr>
          <w:b w:val="0"/>
        </w:rPr>
        <w:t xml:space="preserve">10.3. </w:t>
      </w:r>
      <w:r w:rsidRPr="002C68DF">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8E6251" w:rsidRPr="002C68DF" w:rsidRDefault="008E6251" w:rsidP="0076223D">
      <w:pPr>
        <w:pStyle w:val="BodyTextIndent"/>
        <w:tabs>
          <w:tab w:val="left" w:pos="-2520"/>
          <w:tab w:val="left" w:pos="1260"/>
        </w:tabs>
        <w:spacing w:after="0"/>
        <w:rPr>
          <w:b w:val="0"/>
        </w:rPr>
      </w:pPr>
      <w:r w:rsidRPr="002C68DF">
        <w:rPr>
          <w:b w:val="0"/>
        </w:rPr>
        <w:t>1</w:t>
      </w:r>
      <w:r>
        <w:rPr>
          <w:b w:val="0"/>
        </w:rPr>
        <w:t>0</w:t>
      </w:r>
      <w:r w:rsidRPr="002C68DF">
        <w:rPr>
          <w:b w:val="0"/>
        </w:rPr>
        <w:t xml:space="preserve">.4.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 </w:t>
      </w:r>
    </w:p>
    <w:p w:rsidR="008E6251" w:rsidRPr="002C68DF" w:rsidRDefault="008E6251" w:rsidP="0076223D">
      <w:pPr>
        <w:pStyle w:val="BodyTextIndent"/>
        <w:tabs>
          <w:tab w:val="left" w:pos="-2520"/>
          <w:tab w:val="left" w:pos="1260"/>
        </w:tabs>
        <w:spacing w:after="0"/>
        <w:rPr>
          <w:b w:val="0"/>
        </w:rPr>
      </w:pPr>
      <w:r w:rsidRPr="002C68DF">
        <w:rPr>
          <w:b w:val="0"/>
        </w:rPr>
        <w:t>1</w:t>
      </w:r>
      <w:r>
        <w:rPr>
          <w:b w:val="0"/>
        </w:rPr>
        <w:t>0</w:t>
      </w:r>
      <w:r w:rsidRPr="002C68DF">
        <w:rPr>
          <w:b w:val="0"/>
        </w:rPr>
        <w:t>.5.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8E6251" w:rsidRPr="002C68DF" w:rsidRDefault="008E6251" w:rsidP="0076223D">
      <w:pPr>
        <w:pStyle w:val="BodyTextIndent"/>
        <w:tabs>
          <w:tab w:val="left" w:pos="-2520"/>
          <w:tab w:val="left" w:pos="1260"/>
        </w:tabs>
        <w:spacing w:after="0"/>
        <w:rPr>
          <w:b w:val="0"/>
        </w:rPr>
      </w:pPr>
      <w:r w:rsidRPr="002C68DF">
        <w:rPr>
          <w:b w:val="0"/>
        </w:rPr>
        <w:t>1</w:t>
      </w:r>
      <w:r>
        <w:rPr>
          <w:b w:val="0"/>
        </w:rPr>
        <w:t>0</w:t>
      </w:r>
      <w:r w:rsidRPr="002C68DF">
        <w:rPr>
          <w:b w:val="0"/>
        </w:rPr>
        <w:t>.6. Всі інші умови, не врегульовані цим Договором, регулюються чинним законодавством України.</w:t>
      </w:r>
    </w:p>
    <w:p w:rsidR="008E6251" w:rsidRPr="002C68DF" w:rsidRDefault="008E6251" w:rsidP="0076223D">
      <w:pPr>
        <w:pStyle w:val="BodyTextIndent"/>
        <w:tabs>
          <w:tab w:val="left" w:pos="-2520"/>
          <w:tab w:val="left" w:pos="1260"/>
        </w:tabs>
        <w:spacing w:after="0"/>
        <w:rPr>
          <w:b w:val="0"/>
        </w:rPr>
      </w:pPr>
      <w:r w:rsidRPr="002C68DF">
        <w:rPr>
          <w:b w:val="0"/>
        </w:rPr>
        <w:t>1</w:t>
      </w:r>
      <w:r>
        <w:rPr>
          <w:b w:val="0"/>
        </w:rPr>
        <w:t>0</w:t>
      </w:r>
      <w:r w:rsidRPr="002C68DF">
        <w:rPr>
          <w:b w:val="0"/>
        </w:rPr>
        <w:t>.7.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8E6251" w:rsidRPr="00153A80" w:rsidRDefault="008E6251" w:rsidP="0076223D">
      <w:pPr>
        <w:pStyle w:val="BodyTextIndent"/>
        <w:tabs>
          <w:tab w:val="left" w:pos="-2520"/>
          <w:tab w:val="left" w:pos="1260"/>
        </w:tabs>
        <w:spacing w:after="0"/>
        <w:rPr>
          <w:b w:val="0"/>
        </w:rPr>
      </w:pPr>
      <w:r w:rsidRPr="002C68DF">
        <w:rPr>
          <w:b w:val="0"/>
        </w:rPr>
        <w:t>1</w:t>
      </w:r>
      <w:r>
        <w:rPr>
          <w:b w:val="0"/>
        </w:rPr>
        <w:t>0</w:t>
      </w:r>
      <w:r w:rsidRPr="002C68DF">
        <w:rPr>
          <w:b w:val="0"/>
        </w:rPr>
        <w:t xml:space="preserve">.8.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w:t>
      </w:r>
      <w:r>
        <w:rPr>
          <w:b w:val="0"/>
        </w:rPr>
        <w:br/>
      </w:r>
      <w:r w:rsidRPr="002C68DF">
        <w:rPr>
          <w:b w:val="0"/>
        </w:rPr>
        <w:t xml:space="preserve">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w:t>
      </w:r>
      <w:r>
        <w:rPr>
          <w:b w:val="0"/>
        </w:rPr>
        <w:br/>
      </w:r>
      <w:r w:rsidRPr="002C68DF">
        <w:rPr>
          <w:b w:val="0"/>
        </w:rPr>
        <w:t>"Про публічні закупівлі" від 25.12.2015 № 922-VIII.</w:t>
      </w:r>
    </w:p>
    <w:p w:rsidR="008E6251" w:rsidRDefault="008E6251" w:rsidP="0076223D">
      <w:pPr>
        <w:ind w:left="792"/>
        <w:jc w:val="center"/>
        <w:rPr>
          <w:b/>
          <w:bCs/>
          <w:caps/>
          <w:lang w:val="uk-UA"/>
        </w:rPr>
      </w:pPr>
    </w:p>
    <w:p w:rsidR="008E6251" w:rsidRPr="00D344FD" w:rsidRDefault="008E6251" w:rsidP="0076223D">
      <w:pPr>
        <w:ind w:left="792"/>
        <w:jc w:val="center"/>
        <w:rPr>
          <w:b/>
          <w:bCs/>
          <w:caps/>
          <w:lang w:val="uk-UA"/>
        </w:rPr>
      </w:pPr>
      <w:r>
        <w:rPr>
          <w:b/>
          <w:bCs/>
          <w:caps/>
          <w:lang w:val="uk-UA"/>
        </w:rPr>
        <w:t xml:space="preserve">11. </w:t>
      </w:r>
      <w:r w:rsidRPr="00D344FD">
        <w:rPr>
          <w:b/>
          <w:bCs/>
          <w:caps/>
          <w:lang w:val="uk-UA"/>
        </w:rPr>
        <w:t>Додатки до договору</w:t>
      </w:r>
    </w:p>
    <w:p w:rsidR="008E6251" w:rsidRPr="00AF6AF9" w:rsidRDefault="008E6251" w:rsidP="0076223D">
      <w:pPr>
        <w:pStyle w:val="ListParagraph"/>
        <w:numPr>
          <w:ilvl w:val="0"/>
          <w:numId w:val="9"/>
        </w:numPr>
        <w:tabs>
          <w:tab w:val="left" w:pos="1134"/>
        </w:tabs>
        <w:ind w:left="0" w:firstLine="567"/>
        <w:jc w:val="both"/>
      </w:pPr>
      <w:r w:rsidRPr="00842A86">
        <w:t>Додатк</w:t>
      </w:r>
      <w:r w:rsidRPr="00842A86">
        <w:rPr>
          <w:lang w:val="uk-UA"/>
        </w:rPr>
        <w:t>о</w:t>
      </w:r>
      <w:r w:rsidRPr="00842A86">
        <w:t>м до Договору є Додаток №1.</w:t>
      </w:r>
    </w:p>
    <w:p w:rsidR="008E6251" w:rsidRPr="00263CBC" w:rsidRDefault="008E6251" w:rsidP="0076223D">
      <w:pPr>
        <w:pStyle w:val="Normal1"/>
        <w:widowControl/>
        <w:spacing w:line="240" w:lineRule="auto"/>
        <w:ind w:left="1152" w:firstLine="0"/>
        <w:rPr>
          <w:rFonts w:ascii="Times New Roman" w:hAnsi="Times New Roman"/>
          <w:color w:val="000000"/>
          <w:sz w:val="24"/>
          <w:szCs w:val="24"/>
          <w:lang w:val="ru-RU"/>
        </w:rPr>
      </w:pPr>
    </w:p>
    <w:p w:rsidR="008E6251" w:rsidRDefault="008E6251" w:rsidP="00092D6A">
      <w:pPr>
        <w:ind w:left="792"/>
        <w:jc w:val="center"/>
        <w:rPr>
          <w:b/>
          <w:lang w:val="uk-UA"/>
        </w:rPr>
      </w:pPr>
      <w:r w:rsidRPr="007E5C5C">
        <w:rPr>
          <w:b/>
          <w:lang w:val="uk-UA"/>
        </w:rPr>
        <w:t>1</w:t>
      </w:r>
      <w:r>
        <w:rPr>
          <w:b/>
          <w:lang w:val="uk-UA"/>
        </w:rPr>
        <w:t>2</w:t>
      </w:r>
      <w:r w:rsidRPr="007E5C5C">
        <w:rPr>
          <w:b/>
          <w:lang w:val="uk-UA"/>
        </w:rPr>
        <w:t>. РЕКВІЗИТИ ТА ПІДПИСИ СТОРІН</w:t>
      </w:r>
    </w:p>
    <w:p w:rsidR="008E6251" w:rsidRDefault="008E6251" w:rsidP="0076223D">
      <w:pPr>
        <w:pStyle w:val="Normal1"/>
        <w:widowControl/>
        <w:spacing w:line="240" w:lineRule="auto"/>
        <w:ind w:left="1152" w:firstLine="0"/>
        <w:rPr>
          <w:rFonts w:ascii="Times New Roman" w:hAnsi="Times New Roman"/>
          <w:color w:val="000000"/>
          <w:sz w:val="24"/>
          <w:szCs w:val="24"/>
        </w:rPr>
      </w:pPr>
    </w:p>
    <w:p w:rsidR="008E6251" w:rsidRDefault="008E6251" w:rsidP="0076223D">
      <w:pPr>
        <w:pStyle w:val="Normal1"/>
        <w:widowControl/>
        <w:spacing w:line="240" w:lineRule="auto"/>
        <w:ind w:left="1152" w:firstLine="0"/>
        <w:rPr>
          <w:rFonts w:ascii="Times New Roman" w:hAnsi="Times New Roman"/>
          <w:color w:val="000000"/>
          <w:sz w:val="24"/>
          <w:szCs w:val="24"/>
        </w:rPr>
      </w:pPr>
    </w:p>
    <w:p w:rsidR="008E6251" w:rsidRDefault="008E6251" w:rsidP="0076223D">
      <w:pPr>
        <w:pStyle w:val="Normal1"/>
        <w:widowControl/>
        <w:spacing w:line="240" w:lineRule="auto"/>
        <w:ind w:left="792" w:firstLine="0"/>
        <w:jc w:val="right"/>
        <w:rPr>
          <w:rFonts w:ascii="Times New Roman" w:hAnsi="Times New Roman"/>
          <w:b/>
          <w:color w:val="000000"/>
          <w:sz w:val="24"/>
          <w:szCs w:val="24"/>
        </w:rPr>
      </w:pPr>
    </w:p>
    <w:p w:rsidR="008E6251" w:rsidRDefault="008E6251" w:rsidP="0076223D">
      <w:pPr>
        <w:pStyle w:val="Normal1"/>
        <w:widowControl/>
        <w:spacing w:line="240" w:lineRule="auto"/>
        <w:ind w:left="792" w:firstLine="0"/>
        <w:jc w:val="right"/>
        <w:rPr>
          <w:rFonts w:ascii="Times New Roman" w:hAnsi="Times New Roman"/>
          <w:b/>
          <w:color w:val="000000"/>
          <w:sz w:val="24"/>
          <w:szCs w:val="24"/>
        </w:rPr>
      </w:pPr>
    </w:p>
    <w:p w:rsidR="008E6251" w:rsidRDefault="008E6251" w:rsidP="0076223D">
      <w:pPr>
        <w:pStyle w:val="Normal1"/>
        <w:widowControl/>
        <w:spacing w:line="240" w:lineRule="auto"/>
        <w:ind w:left="792" w:firstLine="0"/>
        <w:jc w:val="right"/>
        <w:rPr>
          <w:rFonts w:ascii="Times New Roman" w:hAnsi="Times New Roman"/>
          <w:b/>
          <w:color w:val="000000"/>
          <w:sz w:val="24"/>
          <w:szCs w:val="24"/>
        </w:rPr>
      </w:pPr>
    </w:p>
    <w:p w:rsidR="008E6251" w:rsidRDefault="008E6251" w:rsidP="0076223D">
      <w:pPr>
        <w:pStyle w:val="Normal1"/>
        <w:widowControl/>
        <w:spacing w:line="240" w:lineRule="auto"/>
        <w:ind w:left="792" w:firstLine="0"/>
        <w:jc w:val="right"/>
        <w:rPr>
          <w:rFonts w:ascii="Times New Roman" w:hAnsi="Times New Roman"/>
          <w:b/>
          <w:color w:val="000000"/>
          <w:sz w:val="24"/>
          <w:szCs w:val="24"/>
        </w:rPr>
      </w:pPr>
    </w:p>
    <w:p w:rsidR="008E6251" w:rsidRDefault="008E6251" w:rsidP="0076223D">
      <w:pPr>
        <w:pStyle w:val="Normal1"/>
        <w:widowControl/>
        <w:spacing w:line="240" w:lineRule="auto"/>
        <w:ind w:left="792" w:firstLine="0"/>
        <w:jc w:val="right"/>
        <w:rPr>
          <w:rFonts w:ascii="Times New Roman" w:hAnsi="Times New Roman"/>
          <w:b/>
          <w:color w:val="000000"/>
          <w:sz w:val="24"/>
          <w:szCs w:val="24"/>
        </w:rPr>
      </w:pPr>
    </w:p>
    <w:p w:rsidR="008E6251" w:rsidRPr="00445F41" w:rsidRDefault="008E6251" w:rsidP="0076223D">
      <w:pPr>
        <w:pStyle w:val="Normal1"/>
        <w:widowControl/>
        <w:spacing w:line="240" w:lineRule="auto"/>
        <w:ind w:left="792" w:firstLine="0"/>
        <w:jc w:val="right"/>
        <w:rPr>
          <w:rFonts w:ascii="Times New Roman" w:hAnsi="Times New Roman"/>
          <w:b/>
          <w:color w:val="000000"/>
          <w:sz w:val="24"/>
          <w:szCs w:val="24"/>
        </w:rPr>
      </w:pPr>
      <w:r w:rsidRPr="00445F41">
        <w:rPr>
          <w:rFonts w:ascii="Times New Roman" w:hAnsi="Times New Roman"/>
          <w:b/>
          <w:color w:val="000000"/>
          <w:sz w:val="24"/>
          <w:szCs w:val="24"/>
        </w:rPr>
        <w:t xml:space="preserve">Додаток № 1 </w:t>
      </w:r>
    </w:p>
    <w:p w:rsidR="008E6251" w:rsidRPr="00445F41" w:rsidRDefault="008E6251" w:rsidP="0076223D">
      <w:pPr>
        <w:pStyle w:val="Normal1"/>
        <w:widowControl/>
        <w:spacing w:line="240" w:lineRule="auto"/>
        <w:ind w:left="792" w:firstLine="0"/>
        <w:jc w:val="right"/>
        <w:rPr>
          <w:rFonts w:ascii="Times New Roman" w:hAnsi="Times New Roman"/>
          <w:b/>
          <w:color w:val="000000"/>
          <w:sz w:val="24"/>
          <w:szCs w:val="24"/>
        </w:rPr>
      </w:pPr>
      <w:r w:rsidRPr="00445F41">
        <w:rPr>
          <w:rFonts w:ascii="Times New Roman" w:hAnsi="Times New Roman"/>
          <w:b/>
          <w:color w:val="000000"/>
          <w:sz w:val="24"/>
          <w:szCs w:val="24"/>
        </w:rPr>
        <w:t xml:space="preserve">до Договору № ________ </w:t>
      </w:r>
    </w:p>
    <w:p w:rsidR="008E6251" w:rsidRPr="00445F41" w:rsidRDefault="008E6251" w:rsidP="0076223D">
      <w:pPr>
        <w:pStyle w:val="Normal1"/>
        <w:widowControl/>
        <w:spacing w:line="240" w:lineRule="auto"/>
        <w:ind w:left="792" w:firstLine="0"/>
        <w:jc w:val="right"/>
        <w:rPr>
          <w:rFonts w:ascii="Times New Roman" w:hAnsi="Times New Roman"/>
          <w:b/>
          <w:sz w:val="24"/>
          <w:szCs w:val="24"/>
          <w:lang w:eastAsia="uk-UA"/>
        </w:rPr>
      </w:pPr>
      <w:r w:rsidRPr="00445F41">
        <w:rPr>
          <w:rFonts w:ascii="Times New Roman" w:hAnsi="Times New Roman"/>
          <w:b/>
          <w:color w:val="000000"/>
          <w:sz w:val="24"/>
          <w:szCs w:val="24"/>
        </w:rPr>
        <w:t>від "</w:t>
      </w:r>
      <w:r w:rsidRPr="00445F41">
        <w:rPr>
          <w:rFonts w:ascii="Times New Roman" w:hAnsi="Times New Roman"/>
          <w:color w:val="000000"/>
          <w:sz w:val="24"/>
          <w:szCs w:val="24"/>
          <w:u w:val="single"/>
        </w:rPr>
        <w:t xml:space="preserve">     </w:t>
      </w:r>
      <w:r w:rsidRPr="00445F41">
        <w:rPr>
          <w:rFonts w:ascii="Times New Roman" w:hAnsi="Times New Roman"/>
          <w:b/>
          <w:color w:val="000000"/>
          <w:sz w:val="24"/>
          <w:szCs w:val="24"/>
        </w:rPr>
        <w:t xml:space="preserve">" </w:t>
      </w:r>
      <w:r>
        <w:rPr>
          <w:rFonts w:ascii="Times New Roman" w:hAnsi="Times New Roman"/>
          <w:b/>
          <w:color w:val="000000"/>
          <w:sz w:val="24"/>
          <w:szCs w:val="24"/>
        </w:rPr>
        <w:t>__</w:t>
      </w:r>
      <w:r w:rsidRPr="00445F41">
        <w:rPr>
          <w:rFonts w:ascii="Times New Roman" w:hAnsi="Times New Roman"/>
          <w:b/>
          <w:color w:val="000000"/>
          <w:sz w:val="24"/>
          <w:szCs w:val="24"/>
        </w:rPr>
        <w:t>_______ 2016 р.</w:t>
      </w:r>
    </w:p>
    <w:p w:rsidR="008E6251" w:rsidRPr="0076223D" w:rsidRDefault="008E6251" w:rsidP="0076223D">
      <w:pPr>
        <w:tabs>
          <w:tab w:val="num" w:pos="709"/>
        </w:tabs>
        <w:ind w:left="792"/>
        <w:jc w:val="both"/>
      </w:pPr>
    </w:p>
    <w:p w:rsidR="008E6251" w:rsidRPr="0076223D" w:rsidRDefault="008E6251" w:rsidP="0076223D">
      <w:pPr>
        <w:ind w:left="792"/>
        <w:jc w:val="center"/>
        <w:rPr>
          <w:lang w:val="uk-UA"/>
        </w:rPr>
      </w:pPr>
    </w:p>
    <w:p w:rsidR="008E6251" w:rsidRPr="001808F1" w:rsidRDefault="008E6251" w:rsidP="0076223D">
      <w:pPr>
        <w:jc w:val="center"/>
        <w:rPr>
          <w:lang w:val="uk-UA"/>
        </w:rPr>
      </w:pPr>
      <w:r w:rsidRPr="001808F1">
        <w:rPr>
          <w:lang w:val="uk-UA"/>
        </w:rPr>
        <w:t xml:space="preserve">Специфікація Обладнання </w:t>
      </w:r>
    </w:p>
    <w:p w:rsidR="008E6251" w:rsidRPr="001808F1" w:rsidRDefault="008E6251" w:rsidP="0076223D">
      <w:pPr>
        <w:jc w:val="center"/>
        <w:rPr>
          <w:lang w:val="uk-UA"/>
        </w:rPr>
      </w:pPr>
    </w:p>
    <w:tbl>
      <w:tblPr>
        <w:tblW w:w="10021" w:type="dxa"/>
        <w:tblInd w:w="93" w:type="dxa"/>
        <w:tblLayout w:type="fixed"/>
        <w:tblLook w:val="00A0"/>
      </w:tblPr>
      <w:tblGrid>
        <w:gridCol w:w="3984"/>
        <w:gridCol w:w="1134"/>
        <w:gridCol w:w="1276"/>
        <w:gridCol w:w="1276"/>
        <w:gridCol w:w="1134"/>
        <w:gridCol w:w="1217"/>
      </w:tblGrid>
      <w:tr w:rsidR="008E6251" w:rsidRPr="001808F1" w:rsidTr="0076223D">
        <w:trPr>
          <w:trHeight w:val="1003"/>
        </w:trPr>
        <w:tc>
          <w:tcPr>
            <w:tcW w:w="6394" w:type="dxa"/>
            <w:gridSpan w:val="3"/>
            <w:tcBorders>
              <w:top w:val="single" w:sz="4" w:space="0" w:color="auto"/>
              <w:left w:val="single" w:sz="4" w:space="0" w:color="auto"/>
              <w:bottom w:val="single" w:sz="4" w:space="0" w:color="auto"/>
              <w:right w:val="single" w:sz="4" w:space="0" w:color="auto"/>
            </w:tcBorders>
            <w:shd w:val="clear" w:color="auto" w:fill="FFFFFF"/>
          </w:tcPr>
          <w:p w:rsidR="008E6251" w:rsidRPr="001808F1" w:rsidRDefault="008E6251" w:rsidP="00F8568D">
            <w:pPr>
              <w:pStyle w:val="ListParagraph"/>
              <w:ind w:left="0"/>
              <w:jc w:val="center"/>
              <w:rPr>
                <w:b/>
                <w:lang w:val="uk-UA"/>
              </w:rPr>
            </w:pPr>
            <w:r w:rsidRPr="001808F1">
              <w:rPr>
                <w:b/>
                <w:lang w:val="uk-UA"/>
              </w:rPr>
              <w:t>Найменування</w:t>
            </w:r>
          </w:p>
          <w:p w:rsidR="008E6251" w:rsidRPr="001808F1" w:rsidRDefault="008E6251" w:rsidP="00F8568D">
            <w:pPr>
              <w:pStyle w:val="ListParagraph"/>
              <w:ind w:left="0"/>
              <w:jc w:val="center"/>
              <w:rPr>
                <w:b/>
                <w:lang w:val="uk-UA"/>
              </w:rPr>
            </w:pPr>
          </w:p>
        </w:tc>
        <w:tc>
          <w:tcPr>
            <w:tcW w:w="1276" w:type="dxa"/>
            <w:tcBorders>
              <w:top w:val="single" w:sz="4" w:space="0" w:color="auto"/>
              <w:left w:val="nil"/>
              <w:bottom w:val="single" w:sz="4" w:space="0" w:color="auto"/>
              <w:right w:val="single" w:sz="4" w:space="0" w:color="auto"/>
            </w:tcBorders>
            <w:shd w:val="clear" w:color="auto" w:fill="FFFFFF"/>
          </w:tcPr>
          <w:p w:rsidR="008E6251" w:rsidRPr="001808F1" w:rsidRDefault="008E6251" w:rsidP="00F8568D">
            <w:pPr>
              <w:jc w:val="center"/>
              <w:rPr>
                <w:b/>
                <w:lang w:val="uk-UA"/>
              </w:rPr>
            </w:pPr>
            <w:r w:rsidRPr="001808F1">
              <w:rPr>
                <w:b/>
                <w:lang w:val="uk-UA"/>
              </w:rPr>
              <w:t>Кількість</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E6251" w:rsidRPr="001808F1" w:rsidRDefault="008E6251" w:rsidP="00F8568D">
            <w:pPr>
              <w:jc w:val="center"/>
              <w:rPr>
                <w:b/>
                <w:lang w:val="uk-UA"/>
              </w:rPr>
            </w:pPr>
            <w:r w:rsidRPr="001808F1">
              <w:rPr>
                <w:b/>
                <w:lang w:val="uk-UA"/>
              </w:rPr>
              <w:t xml:space="preserve">Ціна, грн. </w:t>
            </w:r>
          </w:p>
          <w:p w:rsidR="008E6251" w:rsidRPr="001808F1" w:rsidRDefault="008E6251" w:rsidP="00F8568D">
            <w:pPr>
              <w:jc w:val="center"/>
              <w:rPr>
                <w:b/>
                <w:lang w:val="uk-UA" w:eastAsia="uk-UA"/>
              </w:rPr>
            </w:pPr>
            <w:r w:rsidRPr="001808F1">
              <w:rPr>
                <w:b/>
                <w:lang w:val="uk-UA"/>
              </w:rPr>
              <w:t>з ПДВ за од.</w:t>
            </w:r>
          </w:p>
        </w:tc>
        <w:tc>
          <w:tcPr>
            <w:tcW w:w="1217" w:type="dxa"/>
            <w:tcBorders>
              <w:top w:val="single" w:sz="4" w:space="0" w:color="auto"/>
              <w:left w:val="nil"/>
              <w:bottom w:val="single" w:sz="4" w:space="0" w:color="auto"/>
              <w:right w:val="single" w:sz="4" w:space="0" w:color="auto"/>
            </w:tcBorders>
            <w:shd w:val="clear" w:color="auto" w:fill="FFFFFF"/>
            <w:vAlign w:val="center"/>
          </w:tcPr>
          <w:p w:rsidR="008E6251" w:rsidRPr="001808F1" w:rsidRDefault="008E6251" w:rsidP="00F8568D">
            <w:pPr>
              <w:jc w:val="center"/>
              <w:rPr>
                <w:b/>
                <w:lang w:val="uk-UA"/>
              </w:rPr>
            </w:pPr>
            <w:r w:rsidRPr="001808F1">
              <w:rPr>
                <w:b/>
                <w:lang w:val="uk-UA"/>
              </w:rPr>
              <w:t xml:space="preserve">Загальна вартість, грн. </w:t>
            </w:r>
          </w:p>
          <w:p w:rsidR="008E6251" w:rsidRPr="001808F1" w:rsidRDefault="008E6251" w:rsidP="00F8568D">
            <w:pPr>
              <w:jc w:val="center"/>
              <w:rPr>
                <w:b/>
                <w:lang w:val="uk-UA" w:eastAsia="uk-UA"/>
              </w:rPr>
            </w:pPr>
            <w:r w:rsidRPr="001808F1">
              <w:rPr>
                <w:b/>
                <w:lang w:val="uk-UA"/>
              </w:rPr>
              <w:t>з ПДВ</w:t>
            </w:r>
          </w:p>
        </w:tc>
      </w:tr>
      <w:tr w:rsidR="008E6251" w:rsidRPr="001808F1" w:rsidTr="0076223D">
        <w:trPr>
          <w:trHeight w:val="246"/>
        </w:trPr>
        <w:tc>
          <w:tcPr>
            <w:tcW w:w="6394" w:type="dxa"/>
            <w:gridSpan w:val="3"/>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r w:rsidRPr="001808F1">
              <w:rPr>
                <w:lang w:val="uk-UA"/>
              </w:rPr>
              <w:t>Стрічкова бібліотека ____________________  у складі:</w:t>
            </w:r>
          </w:p>
          <w:p w:rsidR="008E6251" w:rsidRPr="001808F1" w:rsidRDefault="008E6251" w:rsidP="00F8568D">
            <w:pPr>
              <w:pStyle w:val="ListParagraph"/>
              <w:ind w:left="0"/>
              <w:rPr>
                <w:lang w:val="uk-UA"/>
              </w:rPr>
            </w:pPr>
          </w:p>
        </w:tc>
        <w:tc>
          <w:tcPr>
            <w:tcW w:w="1276" w:type="dxa"/>
            <w:vMerge w:val="restart"/>
            <w:tcBorders>
              <w:top w:val="single" w:sz="4" w:space="0" w:color="auto"/>
              <w:left w:val="nil"/>
              <w:right w:val="single" w:sz="4" w:space="0" w:color="auto"/>
            </w:tcBorders>
            <w:shd w:val="clear" w:color="auto" w:fill="FFFFFF"/>
          </w:tcPr>
          <w:p w:rsidR="008E6251" w:rsidRPr="0046549C" w:rsidRDefault="008E6251" w:rsidP="0076223D">
            <w:pPr>
              <w:jc w:val="center"/>
              <w:rPr>
                <w:b/>
                <w:lang w:val="uk-UA"/>
              </w:rPr>
            </w:pPr>
            <w:r w:rsidRPr="0046549C">
              <w:rPr>
                <w:b/>
                <w:lang w:val="uk-UA"/>
              </w:rPr>
              <w:t>1</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val="restart"/>
            <w:tcBorders>
              <w:top w:val="nil"/>
              <w:left w:val="nil"/>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445F41">
        <w:trPr>
          <w:trHeight w:val="285"/>
        </w:trPr>
        <w:tc>
          <w:tcPr>
            <w:tcW w:w="3984" w:type="dxa"/>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r w:rsidRPr="001808F1">
              <w:rPr>
                <w:lang w:val="uk-UA"/>
              </w:rPr>
              <w:t>Назва складової частини</w:t>
            </w:r>
          </w:p>
        </w:tc>
        <w:tc>
          <w:tcPr>
            <w:tcW w:w="1134" w:type="dxa"/>
            <w:tcBorders>
              <w:top w:val="nil"/>
              <w:left w:val="single" w:sz="4" w:space="0" w:color="auto"/>
              <w:bottom w:val="single" w:sz="4" w:space="0" w:color="auto"/>
              <w:right w:val="single" w:sz="4" w:space="0" w:color="auto"/>
            </w:tcBorders>
            <w:shd w:val="clear" w:color="auto" w:fill="FFFFFF"/>
          </w:tcPr>
          <w:p w:rsidR="008E6251" w:rsidRPr="001808F1" w:rsidRDefault="008E6251" w:rsidP="00F8568D">
            <w:pPr>
              <w:pStyle w:val="ListParagraph"/>
              <w:ind w:left="0"/>
              <w:jc w:val="center"/>
              <w:rPr>
                <w:lang w:val="uk-UA"/>
              </w:rPr>
            </w:pPr>
            <w:r>
              <w:rPr>
                <w:lang w:val="uk-UA"/>
              </w:rPr>
              <w:t>А</w:t>
            </w:r>
            <w:r w:rsidRPr="001808F1">
              <w:rPr>
                <w:lang w:val="uk-UA"/>
              </w:rPr>
              <w:t>ртикул</w:t>
            </w:r>
          </w:p>
        </w:tc>
        <w:tc>
          <w:tcPr>
            <w:tcW w:w="1276" w:type="dxa"/>
            <w:tcBorders>
              <w:top w:val="nil"/>
              <w:left w:val="single" w:sz="4" w:space="0" w:color="auto"/>
              <w:bottom w:val="single" w:sz="4" w:space="0" w:color="auto"/>
              <w:right w:val="single" w:sz="4" w:space="0" w:color="auto"/>
            </w:tcBorders>
            <w:shd w:val="clear" w:color="auto" w:fill="FFFFFF"/>
          </w:tcPr>
          <w:p w:rsidR="008E6251" w:rsidRPr="001808F1" w:rsidRDefault="008E6251" w:rsidP="00F8568D">
            <w:pPr>
              <w:pStyle w:val="ListParagraph"/>
              <w:ind w:left="0"/>
              <w:jc w:val="center"/>
              <w:rPr>
                <w:lang w:val="uk-UA"/>
              </w:rPr>
            </w:pPr>
            <w:r>
              <w:rPr>
                <w:lang w:val="uk-UA"/>
              </w:rPr>
              <w:t>К</w:t>
            </w:r>
            <w:r w:rsidRPr="001808F1">
              <w:rPr>
                <w:lang w:val="uk-UA"/>
              </w:rPr>
              <w:t>ількість</w:t>
            </w:r>
          </w:p>
        </w:tc>
        <w:tc>
          <w:tcPr>
            <w:tcW w:w="1276" w:type="dxa"/>
            <w:vMerge/>
            <w:tcBorders>
              <w:left w:val="nil"/>
              <w:right w:val="single" w:sz="4" w:space="0" w:color="auto"/>
            </w:tcBorders>
            <w:shd w:val="clear" w:color="auto" w:fill="FFFFFF"/>
          </w:tcPr>
          <w:p w:rsidR="008E6251" w:rsidRPr="001808F1" w:rsidRDefault="008E6251" w:rsidP="00F8568D">
            <w:pPr>
              <w:rPr>
                <w:rFonts w:ascii="Arial CYR" w:hAnsi="Arial CYR" w:cs="Arial CYR"/>
                <w:bCs/>
                <w:lang w:val="uk-UA"/>
              </w:rPr>
            </w:pPr>
          </w:p>
        </w:tc>
        <w:tc>
          <w:tcPr>
            <w:tcW w:w="1134" w:type="dxa"/>
            <w:vMerge/>
            <w:tcBorders>
              <w:left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tcBorders>
              <w:left w:val="nil"/>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445F41">
        <w:trPr>
          <w:trHeight w:val="258"/>
        </w:trPr>
        <w:tc>
          <w:tcPr>
            <w:tcW w:w="3984" w:type="dxa"/>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p>
        </w:tc>
        <w:tc>
          <w:tcPr>
            <w:tcW w:w="1134" w:type="dxa"/>
            <w:tcBorders>
              <w:top w:val="nil"/>
              <w:left w:val="nil"/>
              <w:bottom w:val="single" w:sz="4" w:space="0" w:color="auto"/>
              <w:right w:val="single" w:sz="4" w:space="0" w:color="auto"/>
            </w:tcBorders>
            <w:shd w:val="clear" w:color="auto" w:fill="FFFFFF"/>
            <w:vAlign w:val="center"/>
          </w:tcPr>
          <w:p w:rsidR="008E6251" w:rsidRPr="001808F1" w:rsidRDefault="008E6251" w:rsidP="00F8568D">
            <w:pPr>
              <w:shd w:val="clear" w:color="auto" w:fill="FFFFFF"/>
              <w:jc w:val="center"/>
              <w:rPr>
                <w:color w:val="FF0000"/>
                <w:lang w:val="uk-UA"/>
              </w:rPr>
            </w:pPr>
          </w:p>
        </w:tc>
        <w:tc>
          <w:tcPr>
            <w:tcW w:w="1276" w:type="dxa"/>
            <w:tcBorders>
              <w:top w:val="nil"/>
              <w:left w:val="nil"/>
              <w:bottom w:val="single" w:sz="4" w:space="0" w:color="auto"/>
              <w:right w:val="single" w:sz="4" w:space="0" w:color="auto"/>
            </w:tcBorders>
            <w:shd w:val="clear" w:color="auto" w:fill="FFFFFF"/>
            <w:noWrap/>
          </w:tcPr>
          <w:p w:rsidR="008E6251" w:rsidRPr="001808F1" w:rsidRDefault="008E6251" w:rsidP="00F8568D">
            <w:pPr>
              <w:pStyle w:val="ListParagraph"/>
              <w:ind w:left="0"/>
              <w:jc w:val="center"/>
              <w:rPr>
                <w:lang w:val="uk-UA"/>
              </w:rPr>
            </w:pPr>
          </w:p>
        </w:tc>
        <w:tc>
          <w:tcPr>
            <w:tcW w:w="1276" w:type="dxa"/>
            <w:vMerge/>
            <w:tcBorders>
              <w:left w:val="nil"/>
              <w:right w:val="single" w:sz="4" w:space="0" w:color="auto"/>
            </w:tcBorders>
            <w:shd w:val="clear" w:color="auto" w:fill="FFFFFF"/>
          </w:tcPr>
          <w:p w:rsidR="008E6251" w:rsidRPr="001808F1" w:rsidRDefault="008E6251" w:rsidP="00F8568D">
            <w:pPr>
              <w:rPr>
                <w:rFonts w:ascii="Arial CYR" w:hAnsi="Arial CYR" w:cs="Arial CYR"/>
                <w:bCs/>
                <w:lang w:val="uk-UA"/>
              </w:rPr>
            </w:pPr>
          </w:p>
        </w:tc>
        <w:tc>
          <w:tcPr>
            <w:tcW w:w="1134" w:type="dxa"/>
            <w:vMerge/>
            <w:tcBorders>
              <w:left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tcBorders>
              <w:left w:val="nil"/>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445F41">
        <w:trPr>
          <w:trHeight w:val="258"/>
        </w:trPr>
        <w:tc>
          <w:tcPr>
            <w:tcW w:w="3984" w:type="dxa"/>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p>
        </w:tc>
        <w:tc>
          <w:tcPr>
            <w:tcW w:w="1134" w:type="dxa"/>
            <w:tcBorders>
              <w:top w:val="nil"/>
              <w:left w:val="nil"/>
              <w:bottom w:val="single" w:sz="4" w:space="0" w:color="auto"/>
              <w:right w:val="single" w:sz="4" w:space="0" w:color="auto"/>
            </w:tcBorders>
            <w:shd w:val="clear" w:color="auto" w:fill="FFFFFF"/>
            <w:vAlign w:val="center"/>
          </w:tcPr>
          <w:p w:rsidR="008E6251" w:rsidRPr="001808F1" w:rsidRDefault="008E6251" w:rsidP="00F8568D">
            <w:pPr>
              <w:pStyle w:val="ListParagraph"/>
              <w:ind w:left="0"/>
              <w:jc w:val="center"/>
              <w:rPr>
                <w:lang w:val="uk-UA"/>
              </w:rPr>
            </w:pPr>
          </w:p>
        </w:tc>
        <w:tc>
          <w:tcPr>
            <w:tcW w:w="1276" w:type="dxa"/>
            <w:tcBorders>
              <w:top w:val="nil"/>
              <w:left w:val="nil"/>
              <w:bottom w:val="single" w:sz="4" w:space="0" w:color="auto"/>
              <w:right w:val="single" w:sz="4" w:space="0" w:color="auto"/>
            </w:tcBorders>
            <w:shd w:val="clear" w:color="auto" w:fill="FFFFFF"/>
            <w:noWrap/>
          </w:tcPr>
          <w:p w:rsidR="008E6251" w:rsidRPr="001808F1" w:rsidRDefault="008E6251" w:rsidP="00F8568D">
            <w:pPr>
              <w:pStyle w:val="ListParagraph"/>
              <w:ind w:left="0"/>
              <w:jc w:val="center"/>
              <w:rPr>
                <w:lang w:val="uk-UA"/>
              </w:rPr>
            </w:pPr>
          </w:p>
        </w:tc>
        <w:tc>
          <w:tcPr>
            <w:tcW w:w="1276" w:type="dxa"/>
            <w:vMerge/>
            <w:tcBorders>
              <w:left w:val="nil"/>
              <w:right w:val="single" w:sz="4" w:space="0" w:color="auto"/>
            </w:tcBorders>
            <w:shd w:val="clear" w:color="auto" w:fill="FFFFFF"/>
          </w:tcPr>
          <w:p w:rsidR="008E6251" w:rsidRPr="001808F1" w:rsidRDefault="008E6251" w:rsidP="00F8568D">
            <w:pPr>
              <w:rPr>
                <w:rFonts w:ascii="Arial CYR" w:hAnsi="Arial CYR" w:cs="Arial CYR"/>
                <w:bCs/>
                <w:lang w:val="uk-UA"/>
              </w:rPr>
            </w:pPr>
          </w:p>
        </w:tc>
        <w:tc>
          <w:tcPr>
            <w:tcW w:w="1134" w:type="dxa"/>
            <w:vMerge/>
            <w:tcBorders>
              <w:left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tcBorders>
              <w:left w:val="nil"/>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445F41">
        <w:trPr>
          <w:trHeight w:val="307"/>
        </w:trPr>
        <w:tc>
          <w:tcPr>
            <w:tcW w:w="3984" w:type="dxa"/>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p>
        </w:tc>
        <w:tc>
          <w:tcPr>
            <w:tcW w:w="1134" w:type="dxa"/>
            <w:tcBorders>
              <w:top w:val="nil"/>
              <w:left w:val="nil"/>
              <w:bottom w:val="single" w:sz="4" w:space="0" w:color="auto"/>
              <w:right w:val="single" w:sz="4" w:space="0" w:color="auto"/>
            </w:tcBorders>
            <w:shd w:val="clear" w:color="auto" w:fill="FFFFFF"/>
            <w:vAlign w:val="center"/>
          </w:tcPr>
          <w:p w:rsidR="008E6251" w:rsidRPr="001808F1" w:rsidRDefault="008E6251" w:rsidP="00F8568D">
            <w:pPr>
              <w:pStyle w:val="ListParagraph"/>
              <w:ind w:left="0"/>
              <w:jc w:val="center"/>
              <w:rPr>
                <w:lang w:val="uk-UA"/>
              </w:rPr>
            </w:pPr>
          </w:p>
        </w:tc>
        <w:tc>
          <w:tcPr>
            <w:tcW w:w="1276" w:type="dxa"/>
            <w:tcBorders>
              <w:top w:val="nil"/>
              <w:left w:val="nil"/>
              <w:bottom w:val="single" w:sz="4" w:space="0" w:color="auto"/>
              <w:right w:val="single" w:sz="4" w:space="0" w:color="auto"/>
            </w:tcBorders>
            <w:shd w:val="clear" w:color="auto" w:fill="FFFFFF"/>
            <w:noWrap/>
          </w:tcPr>
          <w:p w:rsidR="008E6251" w:rsidRPr="001808F1" w:rsidRDefault="008E6251" w:rsidP="00F8568D">
            <w:pPr>
              <w:pStyle w:val="ListParagraph"/>
              <w:ind w:left="0"/>
              <w:jc w:val="center"/>
              <w:rPr>
                <w:lang w:val="uk-UA"/>
              </w:rPr>
            </w:pPr>
          </w:p>
        </w:tc>
        <w:tc>
          <w:tcPr>
            <w:tcW w:w="1276" w:type="dxa"/>
            <w:vMerge/>
            <w:tcBorders>
              <w:left w:val="nil"/>
              <w:right w:val="single" w:sz="4" w:space="0" w:color="auto"/>
            </w:tcBorders>
            <w:shd w:val="clear" w:color="auto" w:fill="FFFFFF"/>
          </w:tcPr>
          <w:p w:rsidR="008E6251" w:rsidRPr="001808F1" w:rsidRDefault="008E6251" w:rsidP="00F8568D">
            <w:pPr>
              <w:rPr>
                <w:rFonts w:ascii="Arial CYR" w:hAnsi="Arial CYR" w:cs="Arial CYR"/>
                <w:bCs/>
                <w:lang w:val="uk-UA"/>
              </w:rPr>
            </w:pPr>
          </w:p>
        </w:tc>
        <w:tc>
          <w:tcPr>
            <w:tcW w:w="1134" w:type="dxa"/>
            <w:vMerge/>
            <w:tcBorders>
              <w:left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tcBorders>
              <w:left w:val="nil"/>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445F41">
        <w:trPr>
          <w:trHeight w:val="307"/>
        </w:trPr>
        <w:tc>
          <w:tcPr>
            <w:tcW w:w="3984" w:type="dxa"/>
            <w:tcBorders>
              <w:top w:val="nil"/>
              <w:left w:val="single" w:sz="4" w:space="0" w:color="auto"/>
              <w:bottom w:val="single" w:sz="4" w:space="0" w:color="auto"/>
              <w:right w:val="single" w:sz="4" w:space="0" w:color="auto"/>
            </w:tcBorders>
            <w:shd w:val="clear" w:color="auto" w:fill="FFFFFF"/>
            <w:noWrap/>
          </w:tcPr>
          <w:p w:rsidR="008E6251" w:rsidRPr="001808F1" w:rsidRDefault="008E6251" w:rsidP="00F8568D">
            <w:pPr>
              <w:pStyle w:val="ListParagraph"/>
              <w:ind w:left="0"/>
              <w:rPr>
                <w:lang w:val="uk-UA"/>
              </w:rPr>
            </w:pPr>
          </w:p>
        </w:tc>
        <w:tc>
          <w:tcPr>
            <w:tcW w:w="1134" w:type="dxa"/>
            <w:tcBorders>
              <w:top w:val="nil"/>
              <w:left w:val="nil"/>
              <w:bottom w:val="single" w:sz="4" w:space="0" w:color="auto"/>
              <w:right w:val="single" w:sz="4" w:space="0" w:color="auto"/>
            </w:tcBorders>
            <w:shd w:val="clear" w:color="auto" w:fill="FFFFFF"/>
            <w:vAlign w:val="center"/>
          </w:tcPr>
          <w:p w:rsidR="008E6251" w:rsidRPr="001808F1" w:rsidRDefault="008E6251" w:rsidP="00F8568D">
            <w:pPr>
              <w:pStyle w:val="ListParagraph"/>
              <w:ind w:left="0"/>
              <w:jc w:val="center"/>
              <w:rPr>
                <w:lang w:val="uk-UA"/>
              </w:rPr>
            </w:pPr>
          </w:p>
        </w:tc>
        <w:tc>
          <w:tcPr>
            <w:tcW w:w="1276" w:type="dxa"/>
            <w:tcBorders>
              <w:top w:val="nil"/>
              <w:left w:val="nil"/>
              <w:bottom w:val="single" w:sz="4" w:space="0" w:color="auto"/>
              <w:right w:val="single" w:sz="4" w:space="0" w:color="auto"/>
            </w:tcBorders>
            <w:shd w:val="clear" w:color="auto" w:fill="FFFFFF"/>
            <w:noWrap/>
          </w:tcPr>
          <w:p w:rsidR="008E6251" w:rsidRPr="001808F1" w:rsidRDefault="008E6251" w:rsidP="00F8568D">
            <w:pPr>
              <w:pStyle w:val="ListParagraph"/>
              <w:ind w:left="0"/>
              <w:jc w:val="center"/>
              <w:rPr>
                <w:lang w:val="uk-UA"/>
              </w:rPr>
            </w:pPr>
          </w:p>
        </w:tc>
        <w:tc>
          <w:tcPr>
            <w:tcW w:w="1276" w:type="dxa"/>
            <w:vMerge/>
            <w:tcBorders>
              <w:left w:val="nil"/>
              <w:bottom w:val="single" w:sz="4" w:space="0" w:color="auto"/>
              <w:right w:val="single" w:sz="4" w:space="0" w:color="auto"/>
            </w:tcBorders>
            <w:shd w:val="clear" w:color="auto" w:fill="FFFFFF"/>
          </w:tcPr>
          <w:p w:rsidR="008E6251" w:rsidRPr="001808F1" w:rsidRDefault="008E6251" w:rsidP="00F8568D">
            <w:pPr>
              <w:rPr>
                <w:rFonts w:ascii="Arial CYR" w:hAnsi="Arial CYR" w:cs="Arial CYR"/>
                <w:bCs/>
                <w:lang w:val="uk-UA"/>
              </w:rPr>
            </w:pPr>
          </w:p>
        </w:tc>
        <w:tc>
          <w:tcPr>
            <w:tcW w:w="1134" w:type="dxa"/>
            <w:vMerge/>
            <w:tcBorders>
              <w:left w:val="single" w:sz="4" w:space="0" w:color="auto"/>
              <w:bottom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c>
          <w:tcPr>
            <w:tcW w:w="1217" w:type="dxa"/>
            <w:vMerge/>
            <w:tcBorders>
              <w:left w:val="nil"/>
              <w:bottom w:val="single" w:sz="4" w:space="0" w:color="auto"/>
              <w:right w:val="single" w:sz="4" w:space="0" w:color="auto"/>
            </w:tcBorders>
            <w:shd w:val="clear" w:color="auto" w:fill="FFFFFF"/>
            <w:vAlign w:val="center"/>
          </w:tcPr>
          <w:p w:rsidR="008E6251" w:rsidRPr="001808F1" w:rsidRDefault="008E6251" w:rsidP="00F8568D">
            <w:pPr>
              <w:rPr>
                <w:rFonts w:ascii="Arial CYR" w:hAnsi="Arial CYR" w:cs="Arial CYR"/>
                <w:bCs/>
                <w:lang w:val="uk-UA"/>
              </w:rPr>
            </w:pPr>
          </w:p>
        </w:tc>
      </w:tr>
      <w:tr w:rsidR="008E6251" w:rsidRPr="001808F1" w:rsidTr="0076223D">
        <w:trPr>
          <w:trHeight w:val="114"/>
        </w:trPr>
        <w:tc>
          <w:tcPr>
            <w:tcW w:w="8804" w:type="dxa"/>
            <w:gridSpan w:val="5"/>
            <w:tcBorders>
              <w:top w:val="single" w:sz="4" w:space="0" w:color="auto"/>
              <w:left w:val="single" w:sz="4" w:space="0" w:color="auto"/>
              <w:bottom w:val="single" w:sz="4" w:space="0" w:color="auto"/>
              <w:right w:val="single" w:sz="4" w:space="0" w:color="auto"/>
            </w:tcBorders>
            <w:shd w:val="clear" w:color="auto" w:fill="FFFFFF"/>
          </w:tcPr>
          <w:p w:rsidR="008E6251" w:rsidRPr="001808F1" w:rsidRDefault="008E6251" w:rsidP="00F8568D">
            <w:pPr>
              <w:jc w:val="right"/>
              <w:rPr>
                <w:rFonts w:cs="Arial"/>
                <w:lang w:val="uk-UA" w:eastAsia="uk-UA"/>
              </w:rPr>
            </w:pPr>
            <w:r w:rsidRPr="001808F1">
              <w:rPr>
                <w:rFonts w:cs="Arial"/>
                <w:lang w:val="uk-UA"/>
              </w:rPr>
              <w:t>Всього грн. без ПДВ:</w:t>
            </w:r>
          </w:p>
        </w:tc>
        <w:tc>
          <w:tcPr>
            <w:tcW w:w="1217" w:type="dxa"/>
            <w:tcBorders>
              <w:top w:val="single" w:sz="4" w:space="0" w:color="auto"/>
              <w:left w:val="nil"/>
              <w:bottom w:val="single" w:sz="4" w:space="0" w:color="auto"/>
              <w:right w:val="single" w:sz="4" w:space="0" w:color="auto"/>
            </w:tcBorders>
            <w:shd w:val="clear" w:color="auto" w:fill="FFFFFF"/>
            <w:vAlign w:val="center"/>
          </w:tcPr>
          <w:p w:rsidR="008E6251" w:rsidRPr="001808F1" w:rsidRDefault="008E6251" w:rsidP="00F8568D">
            <w:pPr>
              <w:jc w:val="center"/>
              <w:rPr>
                <w:rFonts w:cs="Arial"/>
                <w:lang w:val="uk-UA" w:eastAsia="uk-UA"/>
              </w:rPr>
            </w:pPr>
          </w:p>
        </w:tc>
      </w:tr>
      <w:tr w:rsidR="008E6251" w:rsidRPr="0076223D" w:rsidTr="0076223D">
        <w:trPr>
          <w:trHeight w:val="96"/>
        </w:trPr>
        <w:tc>
          <w:tcPr>
            <w:tcW w:w="8804" w:type="dxa"/>
            <w:gridSpan w:val="5"/>
            <w:tcBorders>
              <w:top w:val="single" w:sz="4" w:space="0" w:color="auto"/>
              <w:left w:val="single" w:sz="4" w:space="0" w:color="auto"/>
              <w:bottom w:val="single" w:sz="4" w:space="0" w:color="auto"/>
              <w:right w:val="single" w:sz="4" w:space="0" w:color="auto"/>
            </w:tcBorders>
            <w:shd w:val="clear" w:color="auto" w:fill="FFFFFF"/>
          </w:tcPr>
          <w:p w:rsidR="008E6251" w:rsidRPr="0076223D" w:rsidRDefault="008E6251" w:rsidP="00F8568D">
            <w:pPr>
              <w:jc w:val="right"/>
              <w:rPr>
                <w:rFonts w:cs="Arial"/>
                <w:lang w:val="uk-UA" w:eastAsia="uk-UA"/>
              </w:rPr>
            </w:pPr>
            <w:r w:rsidRPr="0076223D">
              <w:rPr>
                <w:rFonts w:cs="Arial"/>
              </w:rPr>
              <w:t>ПДВ:</w:t>
            </w:r>
          </w:p>
        </w:tc>
        <w:tc>
          <w:tcPr>
            <w:tcW w:w="1217" w:type="dxa"/>
            <w:tcBorders>
              <w:top w:val="single" w:sz="4" w:space="0" w:color="auto"/>
              <w:left w:val="nil"/>
              <w:bottom w:val="single" w:sz="4" w:space="0" w:color="auto"/>
              <w:right w:val="single" w:sz="4" w:space="0" w:color="auto"/>
            </w:tcBorders>
            <w:shd w:val="clear" w:color="auto" w:fill="FFFFFF"/>
            <w:vAlign w:val="center"/>
          </w:tcPr>
          <w:p w:rsidR="008E6251" w:rsidRPr="0076223D" w:rsidRDefault="008E6251" w:rsidP="00F8568D">
            <w:pPr>
              <w:jc w:val="center"/>
              <w:rPr>
                <w:rFonts w:cs="Arial"/>
                <w:lang w:val="uk-UA" w:eastAsia="uk-UA"/>
              </w:rPr>
            </w:pPr>
          </w:p>
        </w:tc>
      </w:tr>
      <w:tr w:rsidR="008E6251" w:rsidRPr="0076223D" w:rsidTr="0076223D">
        <w:trPr>
          <w:trHeight w:val="165"/>
        </w:trPr>
        <w:tc>
          <w:tcPr>
            <w:tcW w:w="8804" w:type="dxa"/>
            <w:gridSpan w:val="5"/>
            <w:tcBorders>
              <w:top w:val="single" w:sz="4" w:space="0" w:color="auto"/>
              <w:left w:val="single" w:sz="4" w:space="0" w:color="auto"/>
              <w:bottom w:val="single" w:sz="4" w:space="0" w:color="auto"/>
              <w:right w:val="single" w:sz="4" w:space="0" w:color="auto"/>
            </w:tcBorders>
            <w:shd w:val="clear" w:color="auto" w:fill="FFFFFF"/>
          </w:tcPr>
          <w:p w:rsidR="008E6251" w:rsidRPr="0076223D" w:rsidRDefault="008E6251" w:rsidP="00F8568D">
            <w:pPr>
              <w:jc w:val="right"/>
              <w:rPr>
                <w:rFonts w:cs="Arial"/>
                <w:lang w:val="uk-UA" w:eastAsia="uk-UA"/>
              </w:rPr>
            </w:pPr>
            <w:r>
              <w:rPr>
                <w:rFonts w:cs="Arial"/>
                <w:lang w:val="uk-UA"/>
              </w:rPr>
              <w:t>Разом</w:t>
            </w:r>
            <w:r w:rsidRPr="0076223D">
              <w:rPr>
                <w:rFonts w:cs="Arial"/>
              </w:rPr>
              <w:t xml:space="preserve"> грн. з ПДВ:</w:t>
            </w:r>
          </w:p>
        </w:tc>
        <w:tc>
          <w:tcPr>
            <w:tcW w:w="1217" w:type="dxa"/>
            <w:tcBorders>
              <w:top w:val="single" w:sz="4" w:space="0" w:color="auto"/>
              <w:left w:val="nil"/>
              <w:bottom w:val="single" w:sz="4" w:space="0" w:color="auto"/>
              <w:right w:val="single" w:sz="4" w:space="0" w:color="auto"/>
            </w:tcBorders>
            <w:shd w:val="clear" w:color="auto" w:fill="FFFFFF"/>
            <w:vAlign w:val="center"/>
          </w:tcPr>
          <w:p w:rsidR="008E6251" w:rsidRPr="0076223D" w:rsidRDefault="008E6251" w:rsidP="00F8568D">
            <w:pPr>
              <w:jc w:val="center"/>
              <w:rPr>
                <w:rFonts w:cs="Arial"/>
                <w:lang w:val="uk-UA" w:eastAsia="uk-UA"/>
              </w:rPr>
            </w:pPr>
          </w:p>
        </w:tc>
      </w:tr>
    </w:tbl>
    <w:p w:rsidR="008E6251" w:rsidRPr="0076223D" w:rsidRDefault="008E6251">
      <w:pPr>
        <w:rPr>
          <w:lang w:val="uk-UA"/>
        </w:rPr>
      </w:pPr>
    </w:p>
    <w:sectPr w:rsidR="008E6251" w:rsidRPr="0076223D" w:rsidSect="0076223D">
      <w:pgSz w:w="11906" w:h="16838"/>
      <w:pgMar w:top="567"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55BDD"/>
    <w:multiLevelType w:val="hybridMultilevel"/>
    <w:tmpl w:val="DEDA151C"/>
    <w:lvl w:ilvl="0" w:tplc="38DEED8C">
      <w:start w:val="1"/>
      <w:numFmt w:val="decimal"/>
      <w:lvlText w:val="4.%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nsid w:val="10356DBD"/>
    <w:multiLevelType w:val="hybridMultilevel"/>
    <w:tmpl w:val="2E361EC8"/>
    <w:lvl w:ilvl="0" w:tplc="6054CFAA">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9D37B80"/>
    <w:multiLevelType w:val="hybridMultilevel"/>
    <w:tmpl w:val="4F445CDA"/>
    <w:lvl w:ilvl="0" w:tplc="283E4708">
      <w:start w:val="1"/>
      <w:numFmt w:val="decimal"/>
      <w:lvlText w:val="9.%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5">
    <w:nsid w:val="1E5B4720"/>
    <w:multiLevelType w:val="hybridMultilevel"/>
    <w:tmpl w:val="A65E006E"/>
    <w:lvl w:ilvl="0" w:tplc="2DB611F8">
      <w:start w:val="4"/>
      <w:numFmt w:val="decimal"/>
      <w:lvlText w:val="%1."/>
      <w:lvlJc w:val="left"/>
      <w:pPr>
        <w:ind w:left="1287" w:hanging="360"/>
      </w:pPr>
      <w:rPr>
        <w:rFonts w:cs="Times New Roman" w:hint="default"/>
        <w:b/>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6">
    <w:nsid w:val="21D76167"/>
    <w:multiLevelType w:val="hybridMultilevel"/>
    <w:tmpl w:val="7C60E6B6"/>
    <w:lvl w:ilvl="0" w:tplc="15C8F20C">
      <w:start w:val="1"/>
      <w:numFmt w:val="decimal"/>
      <w:lvlText w:val="3.%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7">
    <w:nsid w:val="2D8D246D"/>
    <w:multiLevelType w:val="hybridMultilevel"/>
    <w:tmpl w:val="8B84D2E6"/>
    <w:lvl w:ilvl="0" w:tplc="1BBC49EE">
      <w:start w:val="1"/>
      <w:numFmt w:val="decimal"/>
      <w:lvlText w:val="7.%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8">
    <w:nsid w:val="30294C5D"/>
    <w:multiLevelType w:val="hybridMultilevel"/>
    <w:tmpl w:val="99E0C32E"/>
    <w:lvl w:ilvl="0" w:tplc="FE0CB732">
      <w:start w:val="1"/>
      <w:numFmt w:val="decimal"/>
      <w:lvlText w:val="6.%1."/>
      <w:lvlJc w:val="left"/>
      <w:pPr>
        <w:ind w:left="786"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9">
    <w:nsid w:val="37EB6E47"/>
    <w:multiLevelType w:val="hybridMultilevel"/>
    <w:tmpl w:val="DE142040"/>
    <w:lvl w:ilvl="0" w:tplc="DCCE732C">
      <w:start w:val="1"/>
      <w:numFmt w:val="decimal"/>
      <w:lvlText w:val="5.%1."/>
      <w:lvlJc w:val="left"/>
      <w:pPr>
        <w:ind w:left="1287" w:hanging="360"/>
      </w:pPr>
      <w:rPr>
        <w:rFonts w:cs="Times New Roman" w:hint="default"/>
      </w:rPr>
    </w:lvl>
    <w:lvl w:ilvl="1" w:tplc="04220019">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0">
    <w:nsid w:val="3B4868FD"/>
    <w:multiLevelType w:val="hybridMultilevel"/>
    <w:tmpl w:val="0980E790"/>
    <w:lvl w:ilvl="0" w:tplc="90A20506">
      <w:start w:val="1"/>
      <w:numFmt w:val="decimal"/>
      <w:lvlText w:val="10.%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1">
    <w:nsid w:val="3D2F051C"/>
    <w:multiLevelType w:val="multilevel"/>
    <w:tmpl w:val="8E20C396"/>
    <w:lvl w:ilvl="0">
      <w:start w:val="10"/>
      <w:numFmt w:val="decimal"/>
      <w:lvlText w:val="%1."/>
      <w:lvlJc w:val="left"/>
      <w:pPr>
        <w:tabs>
          <w:tab w:val="num" w:pos="480"/>
        </w:tabs>
        <w:ind w:left="480" w:hanging="480"/>
      </w:pPr>
      <w:rPr>
        <w:rFonts w:cs="Times New Roman" w:hint="default"/>
      </w:rPr>
    </w:lvl>
    <w:lvl w:ilvl="1">
      <w:start w:val="9"/>
      <w:numFmt w:val="decimal"/>
      <w:lvlText w:val="%1.%2."/>
      <w:lvlJc w:val="left"/>
      <w:pPr>
        <w:tabs>
          <w:tab w:val="num" w:pos="906"/>
        </w:tabs>
        <w:ind w:left="906"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86A547C"/>
    <w:multiLevelType w:val="hybridMultilevel"/>
    <w:tmpl w:val="A3660E52"/>
    <w:lvl w:ilvl="0" w:tplc="7E90D50A">
      <w:start w:val="1"/>
      <w:numFmt w:val="decimal"/>
      <w:lvlText w:val="2.%1."/>
      <w:lvlJc w:val="left"/>
      <w:pPr>
        <w:ind w:left="2421"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70070ED2"/>
    <w:multiLevelType w:val="hybridMultilevel"/>
    <w:tmpl w:val="211C8F90"/>
    <w:lvl w:ilvl="0" w:tplc="4E06935E">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7B4548FF"/>
    <w:multiLevelType w:val="hybridMultilevel"/>
    <w:tmpl w:val="2CCA8B7A"/>
    <w:lvl w:ilvl="0" w:tplc="8C80721C">
      <w:start w:val="1"/>
      <w:numFmt w:val="decimal"/>
      <w:lvlText w:val="1.%1."/>
      <w:lvlJc w:val="left"/>
      <w:pPr>
        <w:ind w:left="1854"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4"/>
  </w:num>
  <w:num w:numId="2">
    <w:abstractNumId w:val="12"/>
  </w:num>
  <w:num w:numId="3">
    <w:abstractNumId w:val="6"/>
  </w:num>
  <w:num w:numId="4">
    <w:abstractNumId w:val="7"/>
  </w:num>
  <w:num w:numId="5">
    <w:abstractNumId w:val="8"/>
  </w:num>
  <w:num w:numId="6">
    <w:abstractNumId w:val="1"/>
  </w:num>
  <w:num w:numId="7">
    <w:abstractNumId w:val="3"/>
  </w:num>
  <w:num w:numId="8">
    <w:abstractNumId w:val="2"/>
  </w:num>
  <w:num w:numId="9">
    <w:abstractNumId w:val="4"/>
  </w:num>
  <w:num w:numId="10">
    <w:abstractNumId w:val="9"/>
  </w:num>
  <w:num w:numId="11">
    <w:abstractNumId w:val="0"/>
  </w:num>
  <w:num w:numId="12">
    <w:abstractNumId w:val="5"/>
  </w:num>
  <w:num w:numId="13">
    <w:abstractNumId w:val="10"/>
  </w:num>
  <w:num w:numId="14">
    <w:abstractNumId w:val="1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223D"/>
    <w:rsid w:val="00000CCB"/>
    <w:rsid w:val="000038CC"/>
    <w:rsid w:val="00005D7D"/>
    <w:rsid w:val="00055695"/>
    <w:rsid w:val="000733C6"/>
    <w:rsid w:val="00092D6A"/>
    <w:rsid w:val="000945A7"/>
    <w:rsid w:val="000A5379"/>
    <w:rsid w:val="000B14E4"/>
    <w:rsid w:val="00153A80"/>
    <w:rsid w:val="0015631B"/>
    <w:rsid w:val="001808F1"/>
    <w:rsid w:val="002318EC"/>
    <w:rsid w:val="00236C9E"/>
    <w:rsid w:val="00263CBC"/>
    <w:rsid w:val="002C68DF"/>
    <w:rsid w:val="002E7E74"/>
    <w:rsid w:val="002F2B61"/>
    <w:rsid w:val="003B19A1"/>
    <w:rsid w:val="003B7522"/>
    <w:rsid w:val="003F6006"/>
    <w:rsid w:val="00412E6F"/>
    <w:rsid w:val="00445F41"/>
    <w:rsid w:val="0046549C"/>
    <w:rsid w:val="004C40F1"/>
    <w:rsid w:val="004D2222"/>
    <w:rsid w:val="005501E6"/>
    <w:rsid w:val="005A2DB4"/>
    <w:rsid w:val="005C01D4"/>
    <w:rsid w:val="00604CF8"/>
    <w:rsid w:val="0061294D"/>
    <w:rsid w:val="00625463"/>
    <w:rsid w:val="00686C58"/>
    <w:rsid w:val="006D23AB"/>
    <w:rsid w:val="007240EC"/>
    <w:rsid w:val="0076223D"/>
    <w:rsid w:val="007E2A34"/>
    <w:rsid w:val="007E5C5C"/>
    <w:rsid w:val="00842A86"/>
    <w:rsid w:val="00864C2D"/>
    <w:rsid w:val="00894B0E"/>
    <w:rsid w:val="008A7178"/>
    <w:rsid w:val="008E200E"/>
    <w:rsid w:val="008E6251"/>
    <w:rsid w:val="00993229"/>
    <w:rsid w:val="009F2F1C"/>
    <w:rsid w:val="00A26C75"/>
    <w:rsid w:val="00A43DBD"/>
    <w:rsid w:val="00A552E2"/>
    <w:rsid w:val="00A70481"/>
    <w:rsid w:val="00A92675"/>
    <w:rsid w:val="00AF6AF9"/>
    <w:rsid w:val="00B22467"/>
    <w:rsid w:val="00B4610D"/>
    <w:rsid w:val="00B47A51"/>
    <w:rsid w:val="00B81571"/>
    <w:rsid w:val="00BA3F9A"/>
    <w:rsid w:val="00CD2E9E"/>
    <w:rsid w:val="00D27DD0"/>
    <w:rsid w:val="00D344FD"/>
    <w:rsid w:val="00D44770"/>
    <w:rsid w:val="00D7080C"/>
    <w:rsid w:val="00D744F5"/>
    <w:rsid w:val="00D95FB6"/>
    <w:rsid w:val="00DD0FB5"/>
    <w:rsid w:val="00E40F85"/>
    <w:rsid w:val="00E62CA3"/>
    <w:rsid w:val="00EE28D6"/>
    <w:rsid w:val="00F364CB"/>
    <w:rsid w:val="00F421DC"/>
    <w:rsid w:val="00F8568D"/>
    <w:rsid w:val="00FB2A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3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76223D"/>
    <w:pPr>
      <w:widowControl w:val="0"/>
      <w:spacing w:line="300" w:lineRule="auto"/>
      <w:ind w:firstLine="720"/>
      <w:jc w:val="both"/>
    </w:pPr>
    <w:rPr>
      <w:rFonts w:ascii="Courier New" w:eastAsia="Times New Roman" w:hAnsi="Courier New"/>
      <w:sz w:val="28"/>
      <w:szCs w:val="20"/>
      <w:lang w:val="uk-UA"/>
    </w:rPr>
  </w:style>
  <w:style w:type="paragraph" w:styleId="BodyTextIndent">
    <w:name w:val="Body Text Indent"/>
    <w:basedOn w:val="Normal"/>
    <w:link w:val="BodyTextIndentChar"/>
    <w:uiPriority w:val="99"/>
    <w:rsid w:val="0076223D"/>
    <w:pPr>
      <w:shd w:val="clear" w:color="auto" w:fill="FFFFFF"/>
      <w:tabs>
        <w:tab w:val="left" w:leader="underscore" w:pos="7349"/>
      </w:tabs>
      <w:spacing w:after="120"/>
      <w:ind w:firstLine="540"/>
      <w:jc w:val="both"/>
    </w:pPr>
    <w:rPr>
      <w:b/>
      <w:bCs/>
      <w:lang w:val="uk-UA"/>
    </w:rPr>
  </w:style>
  <w:style w:type="character" w:customStyle="1" w:styleId="BodyTextIndentChar">
    <w:name w:val="Body Text Indent Char"/>
    <w:basedOn w:val="DefaultParagraphFont"/>
    <w:link w:val="BodyTextIndent"/>
    <w:uiPriority w:val="99"/>
    <w:locked/>
    <w:rsid w:val="0076223D"/>
    <w:rPr>
      <w:rFonts w:ascii="Times New Roman" w:hAnsi="Times New Roman" w:cs="Times New Roman"/>
      <w:b/>
      <w:bCs/>
      <w:sz w:val="24"/>
      <w:szCs w:val="24"/>
      <w:shd w:val="clear" w:color="auto" w:fill="FFFFFF"/>
      <w:lang w:val="uk-UA" w:eastAsia="ru-RU"/>
    </w:rPr>
  </w:style>
  <w:style w:type="paragraph" w:styleId="ListParagraph">
    <w:name w:val="List Paragraph"/>
    <w:basedOn w:val="Normal"/>
    <w:uiPriority w:val="99"/>
    <w:qFormat/>
    <w:rsid w:val="0076223D"/>
    <w:pPr>
      <w:ind w:left="720"/>
      <w:contextualSpacing/>
    </w:pPr>
  </w:style>
  <w:style w:type="paragraph" w:styleId="BodyText2">
    <w:name w:val="Body Text 2"/>
    <w:basedOn w:val="Normal"/>
    <w:link w:val="BodyText2Char"/>
    <w:uiPriority w:val="99"/>
    <w:rsid w:val="0076223D"/>
    <w:pPr>
      <w:spacing w:after="120" w:line="480" w:lineRule="auto"/>
    </w:pPr>
  </w:style>
  <w:style w:type="character" w:customStyle="1" w:styleId="BodyText2Char">
    <w:name w:val="Body Text 2 Char"/>
    <w:basedOn w:val="DefaultParagraphFont"/>
    <w:link w:val="BodyText2"/>
    <w:uiPriority w:val="99"/>
    <w:locked/>
    <w:rsid w:val="0076223D"/>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76223D"/>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76223D"/>
    <w:rPr>
      <w:rFonts w:ascii="Times New Roman" w:hAnsi="Times New Roman" w:cs="Times New Roman"/>
      <w:sz w:val="24"/>
      <w:szCs w:val="24"/>
      <w:lang w:eastAsia="ru-RU"/>
    </w:rPr>
  </w:style>
  <w:style w:type="paragraph" w:styleId="List2">
    <w:name w:val="List 2"/>
    <w:basedOn w:val="Normal"/>
    <w:uiPriority w:val="99"/>
    <w:rsid w:val="0076223D"/>
    <w:pPr>
      <w:tabs>
        <w:tab w:val="num" w:pos="2520"/>
      </w:tabs>
      <w:ind w:left="2520" w:hanging="720"/>
    </w:pPr>
    <w:rPr>
      <w:lang w:val="uk-UA" w:eastAsia="uk-UA"/>
    </w:rPr>
  </w:style>
  <w:style w:type="paragraph" w:customStyle="1" w:styleId="1">
    <w:name w:val="Абзац списка1"/>
    <w:basedOn w:val="Normal"/>
    <w:uiPriority w:val="99"/>
    <w:rsid w:val="0076223D"/>
    <w:pPr>
      <w:ind w:left="720"/>
      <w:contextualSpacing/>
    </w:pPr>
    <w:rPr>
      <w:rFonts w:eastAsia="Calibri"/>
    </w:rPr>
  </w:style>
  <w:style w:type="paragraph" w:styleId="Footer">
    <w:name w:val="footer"/>
    <w:basedOn w:val="Normal"/>
    <w:link w:val="FooterChar"/>
    <w:uiPriority w:val="99"/>
    <w:rsid w:val="0076223D"/>
    <w:pPr>
      <w:tabs>
        <w:tab w:val="center" w:pos="4153"/>
        <w:tab w:val="right" w:pos="8306"/>
      </w:tabs>
    </w:pPr>
    <w:rPr>
      <w:rFonts w:eastAsia="Calibri"/>
      <w:lang w:val="en-GB" w:eastAsia="en-US"/>
    </w:rPr>
  </w:style>
  <w:style w:type="character" w:customStyle="1" w:styleId="FooterChar">
    <w:name w:val="Footer Char"/>
    <w:basedOn w:val="DefaultParagraphFont"/>
    <w:link w:val="Footer"/>
    <w:uiPriority w:val="99"/>
    <w:locked/>
    <w:rsid w:val="0076223D"/>
    <w:rPr>
      <w:rFonts w:ascii="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211</TotalTime>
  <Pages>5</Pages>
  <Words>2143</Words>
  <Characters>12221</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sushko</cp:lastModifiedBy>
  <cp:revision>21</cp:revision>
  <dcterms:created xsi:type="dcterms:W3CDTF">2016-08-08T07:05:00Z</dcterms:created>
  <dcterms:modified xsi:type="dcterms:W3CDTF">2016-08-17T12:04:00Z</dcterms:modified>
</cp:coreProperties>
</file>