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3B0" w:rsidRPr="008A7E85" w:rsidRDefault="00C763B0" w:rsidP="00EC6C65">
      <w:pPr>
        <w:ind w:right="-284" w:firstLine="360"/>
        <w:jc w:val="both"/>
        <w:rPr>
          <w:color w:val="000000" w:themeColor="text1"/>
        </w:rPr>
      </w:pPr>
    </w:p>
    <w:p w:rsidR="00066A93" w:rsidRPr="008A7E85" w:rsidRDefault="00066A93" w:rsidP="00066A93">
      <w:pPr>
        <w:framePr w:hSpace="141" w:wrap="around" w:vAnchor="text" w:hAnchor="page" w:x="5755" w:y="1"/>
        <w:rPr>
          <w:color w:val="000000" w:themeColor="text1"/>
        </w:rPr>
      </w:pPr>
      <w:r w:rsidRPr="008A7E85">
        <w:rPr>
          <w:color w:val="000000" w:themeColor="text1"/>
        </w:rPr>
        <w:object w:dxaOrig="811" w:dyaOrig="11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>
            <v:imagedata r:id="rId5" o:title=""/>
          </v:shape>
          <o:OLEObject Type="Embed" ProgID="Word.Picture.8" ShapeID="_x0000_i1025" DrawAspect="Content" ObjectID="_1442320795" r:id="rId6"/>
        </w:object>
      </w:r>
    </w:p>
    <w:p w:rsidR="00066A93" w:rsidRPr="008A7E85" w:rsidRDefault="00066A93" w:rsidP="00066A93">
      <w:pPr>
        <w:ind w:right="-284"/>
        <w:jc w:val="both"/>
        <w:rPr>
          <w:color w:val="000000" w:themeColor="text1"/>
          <w:lang w:val="en-US"/>
        </w:rPr>
      </w:pPr>
    </w:p>
    <w:p w:rsidR="00066A93" w:rsidRPr="008A7E85" w:rsidRDefault="00066A93" w:rsidP="00066A93">
      <w:pPr>
        <w:ind w:right="-284" w:firstLine="360"/>
        <w:jc w:val="both"/>
        <w:rPr>
          <w:color w:val="000000" w:themeColor="text1"/>
        </w:rPr>
      </w:pPr>
    </w:p>
    <w:p w:rsidR="00066A93" w:rsidRPr="008A7E85" w:rsidRDefault="00066A93" w:rsidP="00066A93">
      <w:pPr>
        <w:ind w:right="-284" w:firstLine="360"/>
        <w:jc w:val="both"/>
        <w:rPr>
          <w:color w:val="000000" w:themeColor="text1"/>
        </w:rPr>
      </w:pPr>
    </w:p>
    <w:p w:rsidR="00066A93" w:rsidRPr="008A7E85" w:rsidRDefault="00066A93" w:rsidP="00066A93">
      <w:pPr>
        <w:ind w:left="-567"/>
        <w:jc w:val="center"/>
        <w:rPr>
          <w:color w:val="000000" w:themeColor="text1"/>
        </w:rPr>
      </w:pPr>
    </w:p>
    <w:p w:rsidR="00066A93" w:rsidRPr="008A7E85" w:rsidRDefault="00066A93" w:rsidP="00066A93">
      <w:pPr>
        <w:ind w:left="-567"/>
        <w:jc w:val="center"/>
        <w:rPr>
          <w:color w:val="000000" w:themeColor="text1"/>
        </w:rPr>
      </w:pPr>
      <w:r w:rsidRPr="008A7E85">
        <w:rPr>
          <w:color w:val="000000" w:themeColor="text1"/>
        </w:rPr>
        <w:t xml:space="preserve">  Кабінет Міністрів України</w:t>
      </w:r>
    </w:p>
    <w:p w:rsidR="00066A93" w:rsidRPr="008A7E85" w:rsidRDefault="00066A93" w:rsidP="00066A93">
      <w:pPr>
        <w:jc w:val="center"/>
        <w:rPr>
          <w:b/>
          <w:color w:val="000000" w:themeColor="text1"/>
        </w:rPr>
      </w:pPr>
      <w:r w:rsidRPr="008A7E85">
        <w:rPr>
          <w:b/>
          <w:color w:val="000000" w:themeColor="text1"/>
        </w:rPr>
        <w:t xml:space="preserve">    ДЕРЖАВНЕ ПІДПРИЄМСТВО «ЕНЕРГОРИНОК»                                 </w:t>
      </w:r>
    </w:p>
    <w:p w:rsidR="00066A93" w:rsidRPr="008A7E85" w:rsidRDefault="00066A93" w:rsidP="00066A93">
      <w:pPr>
        <w:jc w:val="center"/>
        <w:rPr>
          <w:color w:val="000000" w:themeColor="text1"/>
          <w:sz w:val="16"/>
        </w:rPr>
      </w:pPr>
      <w:r w:rsidRPr="008A7E85">
        <w:rPr>
          <w:color w:val="000000" w:themeColor="text1"/>
          <w:sz w:val="16"/>
        </w:rPr>
        <w:t xml:space="preserve">    01032,  м. Київ-32, вул. С. Петлюри, 27, телефон: 594-86-00, факс: 594-86-86 </w:t>
      </w:r>
    </w:p>
    <w:p w:rsidR="00066A93" w:rsidRPr="008A7E85" w:rsidRDefault="004E6C36" w:rsidP="00066A93">
      <w:pPr>
        <w:jc w:val="center"/>
        <w:rPr>
          <w:color w:val="000000" w:themeColor="text1"/>
        </w:rPr>
      </w:pPr>
      <w:r w:rsidRPr="004E6C36">
        <w:rPr>
          <w:noProof/>
          <w:color w:val="000000" w:themeColor="text1"/>
          <w:lang w:val="ru-RU" w:eastAsia="ru-RU"/>
        </w:rPr>
        <w:pict>
          <v:line id="_x0000_s1032" style="position:absolute;left:0;text-align:left;z-index:2" from="0,10.45pt" to="475.75pt,10.5pt" strokeweight="1pt">
            <v:stroke startarrowwidth="narrow" startarrowlength="short" endarrowwidth="narrow" endarrowlength="short"/>
          </v:line>
        </w:pict>
      </w:r>
      <w:r w:rsidR="00066A93" w:rsidRPr="008A7E85">
        <w:rPr>
          <w:color w:val="000000" w:themeColor="text1"/>
          <w:sz w:val="16"/>
        </w:rPr>
        <w:t xml:space="preserve"> </w:t>
      </w:r>
      <w:r w:rsidRPr="004E6C36">
        <w:rPr>
          <w:noProof/>
          <w:color w:val="000000" w:themeColor="text1"/>
          <w:lang w:val="ru-RU" w:eastAsia="ru-RU"/>
        </w:rPr>
        <w:pict>
          <v:line id="_x0000_s1031" style="position:absolute;left:0;text-align:left;z-index:1;mso-position-horizontal-relative:text;mso-position-vertical-relative:text" from=".2pt,7.05pt" to="475.95pt,7.1pt" o:allowincell="f" strokeweight="2pt">
            <v:stroke startarrowwidth="narrow" startarrowlength="short" endarrowwidth="narrow" endarrowlength="short"/>
          </v:line>
        </w:pict>
      </w:r>
      <w:r w:rsidR="00066A93" w:rsidRPr="008A7E85">
        <w:rPr>
          <w:color w:val="000000" w:themeColor="text1"/>
          <w:sz w:val="16"/>
        </w:rPr>
        <w:t xml:space="preserve">                                                                                              </w:t>
      </w:r>
    </w:p>
    <w:tbl>
      <w:tblPr>
        <w:tblW w:w="0" w:type="auto"/>
        <w:tblLook w:val="0000"/>
      </w:tblPr>
      <w:tblGrid>
        <w:gridCol w:w="287"/>
        <w:gridCol w:w="4207"/>
        <w:gridCol w:w="236"/>
        <w:gridCol w:w="1063"/>
        <w:gridCol w:w="4219"/>
      </w:tblGrid>
      <w:tr w:rsidR="00066A93" w:rsidRPr="008A7E85" w:rsidTr="008A7E85">
        <w:tc>
          <w:tcPr>
            <w:tcW w:w="5793" w:type="dxa"/>
            <w:gridSpan w:val="4"/>
            <w:vAlign w:val="bottom"/>
          </w:tcPr>
          <w:p w:rsidR="00066A93" w:rsidRPr="008A7E85" w:rsidRDefault="00066A93" w:rsidP="008A7E85">
            <w:pPr>
              <w:tabs>
                <w:tab w:val="left" w:pos="6521"/>
              </w:tabs>
              <w:rPr>
                <w:color w:val="000000" w:themeColor="text1"/>
              </w:rPr>
            </w:pPr>
            <w:r w:rsidRPr="008A7E85">
              <w:rPr>
                <w:color w:val="000000" w:themeColor="text1"/>
              </w:rPr>
              <w:t>..............................№..........................</w:t>
            </w:r>
          </w:p>
        </w:tc>
        <w:tc>
          <w:tcPr>
            <w:tcW w:w="4219" w:type="dxa"/>
          </w:tcPr>
          <w:p w:rsidR="00066A93" w:rsidRPr="008A7E85" w:rsidRDefault="00066A93" w:rsidP="00C91DB6">
            <w:pPr>
              <w:tabs>
                <w:tab w:val="left" w:pos="5103"/>
              </w:tabs>
              <w:ind w:right="41"/>
              <w:jc w:val="both"/>
              <w:rPr>
                <w:color w:val="000000" w:themeColor="text1"/>
              </w:rPr>
            </w:pPr>
          </w:p>
        </w:tc>
      </w:tr>
      <w:tr w:rsidR="00066A93" w:rsidRPr="008A7E85" w:rsidTr="008A7E85">
        <w:tc>
          <w:tcPr>
            <w:tcW w:w="5793" w:type="dxa"/>
            <w:gridSpan w:val="4"/>
            <w:vAlign w:val="bottom"/>
          </w:tcPr>
          <w:p w:rsidR="00066A93" w:rsidRPr="008A7E85" w:rsidRDefault="00066A93" w:rsidP="008A7E85">
            <w:pPr>
              <w:tabs>
                <w:tab w:val="left" w:pos="6521"/>
              </w:tabs>
              <w:rPr>
                <w:color w:val="000000" w:themeColor="text1"/>
              </w:rPr>
            </w:pPr>
            <w:r w:rsidRPr="008A7E85">
              <w:rPr>
                <w:color w:val="000000" w:themeColor="text1"/>
              </w:rPr>
              <w:t xml:space="preserve">На № .................від  .........................                                </w:t>
            </w:r>
          </w:p>
        </w:tc>
        <w:tc>
          <w:tcPr>
            <w:tcW w:w="4219" w:type="dxa"/>
          </w:tcPr>
          <w:p w:rsidR="00066A93" w:rsidRPr="008A7E85" w:rsidRDefault="00066A93" w:rsidP="008A7E85">
            <w:pPr>
              <w:tabs>
                <w:tab w:val="left" w:pos="5103"/>
              </w:tabs>
              <w:ind w:right="41"/>
              <w:jc w:val="both"/>
              <w:rPr>
                <w:color w:val="000000" w:themeColor="text1"/>
              </w:rPr>
            </w:pPr>
          </w:p>
        </w:tc>
      </w:tr>
      <w:tr w:rsidR="00066A93" w:rsidRPr="008A7E85" w:rsidTr="008A7E85">
        <w:trPr>
          <w:trHeight w:val="307"/>
        </w:trPr>
        <w:tc>
          <w:tcPr>
            <w:tcW w:w="5793" w:type="dxa"/>
            <w:gridSpan w:val="4"/>
            <w:vAlign w:val="bottom"/>
          </w:tcPr>
          <w:p w:rsidR="00066A93" w:rsidRPr="008A7E85" w:rsidRDefault="00066A93" w:rsidP="008A7E85">
            <w:pPr>
              <w:tabs>
                <w:tab w:val="left" w:pos="6521"/>
              </w:tabs>
              <w:rPr>
                <w:color w:val="000000" w:themeColor="text1"/>
              </w:rPr>
            </w:pPr>
          </w:p>
        </w:tc>
        <w:tc>
          <w:tcPr>
            <w:tcW w:w="4219" w:type="dxa"/>
          </w:tcPr>
          <w:p w:rsidR="00066A93" w:rsidRPr="008A7E85" w:rsidRDefault="00066A93" w:rsidP="008A7E85">
            <w:pPr>
              <w:tabs>
                <w:tab w:val="left" w:pos="5103"/>
              </w:tabs>
              <w:ind w:right="41"/>
              <w:jc w:val="both"/>
              <w:rPr>
                <w:color w:val="000000" w:themeColor="text1"/>
              </w:rPr>
            </w:pPr>
          </w:p>
        </w:tc>
      </w:tr>
      <w:tr w:rsidR="00066A93" w:rsidRPr="008A7E85" w:rsidTr="008A7E85">
        <w:tc>
          <w:tcPr>
            <w:tcW w:w="287" w:type="dxa"/>
            <w:tcBorders>
              <w:top w:val="single" w:sz="4" w:space="0" w:color="auto"/>
              <w:left w:val="single" w:sz="4" w:space="0" w:color="auto"/>
            </w:tcBorders>
          </w:tcPr>
          <w:p w:rsidR="00066A93" w:rsidRPr="008A7E85" w:rsidRDefault="00066A93" w:rsidP="008A7E85">
            <w:pPr>
              <w:tabs>
                <w:tab w:val="left" w:pos="6521"/>
              </w:tabs>
              <w:rPr>
                <w:color w:val="000000" w:themeColor="text1"/>
              </w:rPr>
            </w:pPr>
          </w:p>
        </w:tc>
        <w:tc>
          <w:tcPr>
            <w:tcW w:w="4207" w:type="dxa"/>
            <w:vAlign w:val="bottom"/>
          </w:tcPr>
          <w:p w:rsidR="00066A93" w:rsidRPr="008A7E85" w:rsidRDefault="00066A93" w:rsidP="008A7E85">
            <w:pPr>
              <w:pStyle w:val="a3"/>
              <w:tabs>
                <w:tab w:val="left" w:pos="6521"/>
              </w:tabs>
              <w:spacing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A7E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щодо цінового запиту</w:t>
            </w:r>
          </w:p>
        </w:tc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:rsidR="00066A93" w:rsidRPr="008A7E85" w:rsidRDefault="00066A93" w:rsidP="008A7E85">
            <w:pPr>
              <w:tabs>
                <w:tab w:val="left" w:pos="6521"/>
              </w:tabs>
              <w:rPr>
                <w:color w:val="000000" w:themeColor="text1"/>
              </w:rPr>
            </w:pPr>
          </w:p>
        </w:tc>
        <w:tc>
          <w:tcPr>
            <w:tcW w:w="1063" w:type="dxa"/>
            <w:tcBorders>
              <w:left w:val="single" w:sz="4" w:space="0" w:color="auto"/>
            </w:tcBorders>
          </w:tcPr>
          <w:p w:rsidR="00066A93" w:rsidRPr="008A7E85" w:rsidRDefault="00066A93" w:rsidP="008A7E85">
            <w:pPr>
              <w:tabs>
                <w:tab w:val="left" w:pos="6521"/>
              </w:tabs>
              <w:rPr>
                <w:color w:val="000000" w:themeColor="text1"/>
              </w:rPr>
            </w:pPr>
          </w:p>
        </w:tc>
        <w:tc>
          <w:tcPr>
            <w:tcW w:w="4219" w:type="dxa"/>
          </w:tcPr>
          <w:p w:rsidR="00066A93" w:rsidRPr="008A7E85" w:rsidRDefault="00066A93" w:rsidP="008A7E85">
            <w:pPr>
              <w:tabs>
                <w:tab w:val="left" w:pos="5103"/>
              </w:tabs>
              <w:ind w:right="41"/>
              <w:jc w:val="both"/>
              <w:rPr>
                <w:color w:val="000000" w:themeColor="text1"/>
              </w:rPr>
            </w:pPr>
          </w:p>
        </w:tc>
      </w:tr>
    </w:tbl>
    <w:p w:rsidR="00066A93" w:rsidRPr="008A7E85" w:rsidRDefault="00066A93" w:rsidP="00066A93">
      <w:pPr>
        <w:pStyle w:val="4"/>
        <w:spacing w:before="0" w:after="0"/>
        <w:rPr>
          <w:color w:val="000000" w:themeColor="text1"/>
          <w:sz w:val="24"/>
          <w:szCs w:val="24"/>
          <w:lang w:val="ru-RU"/>
        </w:rPr>
      </w:pPr>
    </w:p>
    <w:p w:rsidR="00C91DB6" w:rsidRPr="008A7E85" w:rsidRDefault="00C91DB6" w:rsidP="00C91DB6">
      <w:pPr>
        <w:tabs>
          <w:tab w:val="left" w:pos="5400"/>
        </w:tabs>
        <w:ind w:firstLine="540"/>
        <w:jc w:val="both"/>
        <w:rPr>
          <w:color w:val="000000" w:themeColor="text1"/>
          <w:lang w:val="ru-RU"/>
        </w:rPr>
      </w:pPr>
      <w:r w:rsidRPr="008A7E85">
        <w:rPr>
          <w:color w:val="000000" w:themeColor="text1"/>
        </w:rPr>
        <w:t>Державне підприємство "</w:t>
      </w:r>
      <w:proofErr w:type="spellStart"/>
      <w:r w:rsidRPr="008A7E85">
        <w:rPr>
          <w:color w:val="000000" w:themeColor="text1"/>
        </w:rPr>
        <w:t>Енергоринок</w:t>
      </w:r>
      <w:proofErr w:type="spellEnd"/>
      <w:r w:rsidRPr="008A7E85">
        <w:rPr>
          <w:color w:val="000000" w:themeColor="text1"/>
        </w:rPr>
        <w:t xml:space="preserve">" має намір придбати </w:t>
      </w:r>
      <w:r w:rsidRPr="008A7E85">
        <w:rPr>
          <w:color w:val="000000" w:themeColor="text1"/>
          <w:szCs w:val="28"/>
        </w:rPr>
        <w:t>послуги з приведення до відповідності нормативній базі із збереженням первісної функціональності автоматизованої інформаційної системи "Використання даних, отриманих з автоматизованих систем комерційного обліку електричної енергії суб’єктів ОРЕ"</w:t>
      </w:r>
      <w:r w:rsidRPr="008A7E85">
        <w:rPr>
          <w:bCs/>
          <w:color w:val="000000" w:themeColor="text1"/>
        </w:rPr>
        <w:t xml:space="preserve">, які за </w:t>
      </w:r>
      <w:proofErr w:type="spellStart"/>
      <w:r w:rsidRPr="008A7E85">
        <w:rPr>
          <w:bCs/>
          <w:color w:val="000000" w:themeColor="text1"/>
        </w:rPr>
        <w:t>ДК</w:t>
      </w:r>
      <w:proofErr w:type="spellEnd"/>
      <w:r w:rsidRPr="008A7E85">
        <w:rPr>
          <w:bCs/>
          <w:color w:val="000000" w:themeColor="text1"/>
        </w:rPr>
        <w:t xml:space="preserve">:2010 відносяться до категорії 63.11.1. "Послуги щодо оброблення даних, розміщення інформації на </w:t>
      </w:r>
      <w:proofErr w:type="spellStart"/>
      <w:r w:rsidRPr="008A7E85">
        <w:rPr>
          <w:bCs/>
          <w:color w:val="000000" w:themeColor="text1"/>
        </w:rPr>
        <w:t>веб-вузлах</w:t>
      </w:r>
      <w:proofErr w:type="spellEnd"/>
      <w:r w:rsidRPr="008A7E85">
        <w:rPr>
          <w:bCs/>
          <w:color w:val="000000" w:themeColor="text1"/>
        </w:rPr>
        <w:t xml:space="preserve">, щодо програмного застосування та інші послуги щодо забезпечення інформаційно-технологічною інфраструктурою" у зв'язку з чим </w:t>
      </w:r>
      <w:r w:rsidRPr="008A7E85">
        <w:rPr>
          <w:color w:val="000000" w:themeColor="text1"/>
        </w:rPr>
        <w:t xml:space="preserve">просить Вас надати Цінову пропозицію на надання вищевказаних послуг згідно з технічними вимогами, наведеними у додатку.                                                              </w:t>
      </w:r>
    </w:p>
    <w:p w:rsidR="00C91DB6" w:rsidRPr="008A7E85" w:rsidRDefault="00C91DB6" w:rsidP="00C91DB6">
      <w:pPr>
        <w:ind w:left="40" w:firstLine="320"/>
        <w:jc w:val="both"/>
        <w:rPr>
          <w:color w:val="000000" w:themeColor="text1"/>
        </w:rPr>
      </w:pPr>
      <w:r w:rsidRPr="008A7E85">
        <w:rPr>
          <w:color w:val="000000" w:themeColor="text1"/>
        </w:rPr>
        <w:t>При підготовці цінової пропозиції необхідно обов’язково вказати наступну інформацію:</w:t>
      </w:r>
    </w:p>
    <w:p w:rsidR="00C91DB6" w:rsidRPr="008A7E85" w:rsidRDefault="00C91DB6" w:rsidP="00C91DB6">
      <w:pPr>
        <w:ind w:left="40" w:firstLine="320"/>
        <w:jc w:val="both"/>
        <w:rPr>
          <w:color w:val="000000" w:themeColor="text1"/>
        </w:rPr>
      </w:pPr>
      <w:r w:rsidRPr="008A7E85">
        <w:rPr>
          <w:color w:val="000000" w:themeColor="text1"/>
        </w:rPr>
        <w:t>1. Термін надання Послуг має становити 90 календарних днів з моменту підписання договору надання послуг.</w:t>
      </w:r>
    </w:p>
    <w:p w:rsidR="00C91DB6" w:rsidRPr="008A7E85" w:rsidRDefault="00C91DB6" w:rsidP="00C91DB6">
      <w:pPr>
        <w:ind w:left="40" w:firstLine="320"/>
        <w:jc w:val="both"/>
        <w:rPr>
          <w:color w:val="000000" w:themeColor="text1"/>
        </w:rPr>
      </w:pPr>
      <w:r w:rsidRPr="008A7E85">
        <w:rPr>
          <w:color w:val="000000" w:themeColor="text1"/>
        </w:rPr>
        <w:t>2. Термін дії цінової пропозиції (не менше трьох тижнів).</w:t>
      </w:r>
    </w:p>
    <w:p w:rsidR="00C91DB6" w:rsidRPr="008A7E85" w:rsidRDefault="00C91DB6" w:rsidP="00C91DB6">
      <w:pPr>
        <w:ind w:left="40" w:firstLine="500"/>
        <w:jc w:val="center"/>
        <w:rPr>
          <w:color w:val="000000" w:themeColor="text1"/>
        </w:rPr>
      </w:pPr>
    </w:p>
    <w:p w:rsidR="00C91DB6" w:rsidRDefault="00C91DB6" w:rsidP="00C91DB6">
      <w:pPr>
        <w:ind w:left="40" w:firstLine="500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Цінова пропозиція подається в запечатаному конверті. Конверт повинен бути адресований Замовнику, містити печатку Учасника в місцях заклеювання та бути підписаним наступним чином: </w:t>
      </w:r>
    </w:p>
    <w:p w:rsidR="00C91DB6" w:rsidRDefault="00C91DB6" w:rsidP="00C91DB6">
      <w:pPr>
        <w:ind w:left="40" w:firstLine="500"/>
        <w:jc w:val="center"/>
        <w:rPr>
          <w:b/>
          <w:bCs/>
          <w:color w:val="000000" w:themeColor="text1"/>
        </w:rPr>
      </w:pPr>
      <w:r w:rsidRPr="008A7E85">
        <w:rPr>
          <w:b/>
          <w:bCs/>
          <w:color w:val="000000" w:themeColor="text1"/>
        </w:rPr>
        <w:t xml:space="preserve">"Цінова пропозиція на послуги щодо оброблення даних, розміщення </w:t>
      </w:r>
    </w:p>
    <w:p w:rsidR="00C91DB6" w:rsidRPr="008A7E85" w:rsidRDefault="00C91DB6" w:rsidP="00C91DB6">
      <w:pPr>
        <w:ind w:left="40" w:firstLine="500"/>
        <w:jc w:val="center"/>
        <w:rPr>
          <w:b/>
          <w:bCs/>
          <w:color w:val="000000" w:themeColor="text1"/>
        </w:rPr>
      </w:pPr>
      <w:r w:rsidRPr="008A7E85">
        <w:rPr>
          <w:b/>
          <w:bCs/>
          <w:color w:val="000000" w:themeColor="text1"/>
        </w:rPr>
        <w:t xml:space="preserve">інформації на </w:t>
      </w:r>
      <w:proofErr w:type="spellStart"/>
      <w:r w:rsidRPr="008A7E85">
        <w:rPr>
          <w:b/>
          <w:bCs/>
          <w:color w:val="000000" w:themeColor="text1"/>
        </w:rPr>
        <w:t>веб-вузлах</w:t>
      </w:r>
      <w:proofErr w:type="spellEnd"/>
      <w:r w:rsidRPr="008A7E85">
        <w:rPr>
          <w:b/>
          <w:bCs/>
          <w:color w:val="000000" w:themeColor="text1"/>
        </w:rPr>
        <w:t>, щодо програмного застосування та інші послуги щодо забезпечення інформаційн</w:t>
      </w:r>
      <w:r>
        <w:rPr>
          <w:b/>
          <w:bCs/>
          <w:color w:val="000000" w:themeColor="text1"/>
        </w:rPr>
        <w:t>о-технологічною інфраструктурою</w:t>
      </w:r>
      <w:r w:rsidRPr="008A7E85">
        <w:rPr>
          <w:b/>
          <w:bCs/>
          <w:color w:val="000000" w:themeColor="text1"/>
        </w:rPr>
        <w:t>"</w:t>
      </w:r>
    </w:p>
    <w:p w:rsidR="00C91DB6" w:rsidRPr="008A7E85" w:rsidRDefault="00C91DB6" w:rsidP="00C91DB6">
      <w:pPr>
        <w:ind w:left="40" w:firstLine="500"/>
        <w:jc w:val="center"/>
        <w:rPr>
          <w:b/>
          <w:bCs/>
          <w:color w:val="000000" w:themeColor="text1"/>
          <w:effect w:val="lights"/>
          <w:lang w:val="ru-RU"/>
        </w:rPr>
      </w:pPr>
      <w:r w:rsidRPr="008A7E85">
        <w:rPr>
          <w:b/>
          <w:bCs/>
          <w:color w:val="000000" w:themeColor="text1"/>
          <w:effect w:val="lights"/>
        </w:rPr>
        <w:t>Не відкривати до 1</w:t>
      </w:r>
      <w:r w:rsidRPr="008A7E85">
        <w:rPr>
          <w:b/>
          <w:bCs/>
          <w:color w:val="000000" w:themeColor="text1"/>
          <w:effect w:val="lights"/>
          <w:lang w:val="ru-RU"/>
        </w:rPr>
        <w:t>0</w:t>
      </w:r>
      <w:r w:rsidRPr="008A7E85">
        <w:rPr>
          <w:b/>
          <w:bCs/>
          <w:color w:val="000000" w:themeColor="text1"/>
          <w:effect w:val="lights"/>
        </w:rPr>
        <w:t>:</w:t>
      </w:r>
      <w:r w:rsidRPr="008A7E85">
        <w:rPr>
          <w:b/>
          <w:bCs/>
          <w:color w:val="000000" w:themeColor="text1"/>
          <w:effect w:val="lights"/>
          <w:lang w:val="ru-RU"/>
        </w:rPr>
        <w:t>0</w:t>
      </w:r>
      <w:proofErr w:type="spellStart"/>
      <w:r w:rsidRPr="008A7E85">
        <w:rPr>
          <w:b/>
          <w:bCs/>
          <w:color w:val="000000" w:themeColor="text1"/>
          <w:effect w:val="lights"/>
        </w:rPr>
        <w:t>0</w:t>
      </w:r>
      <w:proofErr w:type="spellEnd"/>
      <w:r w:rsidRPr="008A7E85">
        <w:rPr>
          <w:b/>
          <w:bCs/>
          <w:color w:val="000000" w:themeColor="text1"/>
          <w:effect w:val="lights"/>
        </w:rPr>
        <w:t xml:space="preserve">  год. </w:t>
      </w:r>
      <w:r w:rsidRPr="00C91DB6">
        <w:rPr>
          <w:b/>
          <w:bCs/>
          <w:color w:val="000000" w:themeColor="text1"/>
          <w:effect w:val="lights"/>
          <w:lang w:val="ru-RU"/>
        </w:rPr>
        <w:t>10</w:t>
      </w:r>
      <w:r w:rsidRPr="008A7E85">
        <w:rPr>
          <w:b/>
          <w:bCs/>
          <w:color w:val="000000" w:themeColor="text1"/>
          <w:effect w:val="lights"/>
        </w:rPr>
        <w:t>.10.201</w:t>
      </w:r>
      <w:r w:rsidRPr="008A7E85">
        <w:rPr>
          <w:b/>
          <w:bCs/>
          <w:color w:val="000000" w:themeColor="text1"/>
          <w:effect w:val="lights"/>
          <w:lang w:val="ru-RU"/>
        </w:rPr>
        <w:t>3</w:t>
      </w:r>
    </w:p>
    <w:p w:rsidR="00C91DB6" w:rsidRPr="008A7E85" w:rsidRDefault="00C91DB6" w:rsidP="00C91DB6">
      <w:pPr>
        <w:pStyle w:val="3"/>
        <w:spacing w:after="0"/>
        <w:ind w:left="0" w:firstLine="540"/>
        <w:jc w:val="both"/>
        <w:rPr>
          <w:color w:val="000000" w:themeColor="text1"/>
          <w:sz w:val="24"/>
          <w:szCs w:val="24"/>
        </w:rPr>
      </w:pPr>
      <w:r w:rsidRPr="008A7E85">
        <w:rPr>
          <w:color w:val="000000" w:themeColor="text1"/>
          <w:sz w:val="24"/>
          <w:szCs w:val="24"/>
        </w:rPr>
        <w:t xml:space="preserve">На </w:t>
      </w:r>
      <w:proofErr w:type="spellStart"/>
      <w:r w:rsidRPr="008A7E85">
        <w:rPr>
          <w:color w:val="000000" w:themeColor="text1"/>
          <w:sz w:val="24"/>
          <w:szCs w:val="24"/>
        </w:rPr>
        <w:t>конверті</w:t>
      </w:r>
      <w:proofErr w:type="spellEnd"/>
      <w:r w:rsidRPr="008A7E85">
        <w:rPr>
          <w:color w:val="000000" w:themeColor="text1"/>
          <w:sz w:val="24"/>
          <w:szCs w:val="24"/>
        </w:rPr>
        <w:t xml:space="preserve"> </w:t>
      </w:r>
      <w:proofErr w:type="spellStart"/>
      <w:r w:rsidRPr="008A7E85">
        <w:rPr>
          <w:color w:val="000000" w:themeColor="text1"/>
          <w:sz w:val="24"/>
          <w:szCs w:val="24"/>
        </w:rPr>
        <w:t>зазначається</w:t>
      </w:r>
      <w:proofErr w:type="spellEnd"/>
      <w:r w:rsidRPr="008A7E85">
        <w:rPr>
          <w:color w:val="000000" w:themeColor="text1"/>
          <w:sz w:val="24"/>
          <w:szCs w:val="24"/>
        </w:rPr>
        <w:t xml:space="preserve"> </w:t>
      </w:r>
      <w:proofErr w:type="spellStart"/>
      <w:r w:rsidRPr="008A7E85">
        <w:rPr>
          <w:color w:val="000000" w:themeColor="text1"/>
          <w:sz w:val="24"/>
          <w:szCs w:val="24"/>
        </w:rPr>
        <w:t>найменування</w:t>
      </w:r>
      <w:proofErr w:type="spellEnd"/>
      <w:r w:rsidRPr="008A7E85">
        <w:rPr>
          <w:color w:val="000000" w:themeColor="text1"/>
          <w:sz w:val="24"/>
          <w:szCs w:val="24"/>
        </w:rPr>
        <w:t xml:space="preserve">, адреса та </w:t>
      </w:r>
      <w:proofErr w:type="spellStart"/>
      <w:r w:rsidRPr="008A7E85">
        <w:rPr>
          <w:color w:val="000000" w:themeColor="text1"/>
          <w:sz w:val="24"/>
          <w:szCs w:val="24"/>
        </w:rPr>
        <w:t>телефони</w:t>
      </w:r>
      <w:proofErr w:type="spellEnd"/>
      <w:r w:rsidRPr="008A7E85">
        <w:rPr>
          <w:color w:val="000000" w:themeColor="text1"/>
          <w:sz w:val="24"/>
          <w:szCs w:val="24"/>
        </w:rPr>
        <w:t xml:space="preserve"> (факс) </w:t>
      </w:r>
      <w:proofErr w:type="spellStart"/>
      <w:r w:rsidRPr="008A7E85">
        <w:rPr>
          <w:color w:val="000000" w:themeColor="text1"/>
          <w:sz w:val="24"/>
          <w:szCs w:val="24"/>
        </w:rPr>
        <w:t>Учасника</w:t>
      </w:r>
      <w:proofErr w:type="spellEnd"/>
      <w:r w:rsidRPr="008A7E85">
        <w:rPr>
          <w:color w:val="000000" w:themeColor="text1"/>
          <w:sz w:val="24"/>
          <w:szCs w:val="24"/>
        </w:rPr>
        <w:t>.</w:t>
      </w:r>
    </w:p>
    <w:p w:rsidR="00C91DB6" w:rsidRPr="008A7E85" w:rsidRDefault="00C91DB6" w:rsidP="00C91DB6">
      <w:pPr>
        <w:ind w:firstLine="540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Подання цінових пропозицій: </w:t>
      </w:r>
      <w:smartTag w:uri="urn:schemas-microsoft-com:office:smarttags" w:element="metricconverter">
        <w:smartTagPr>
          <w:attr w:name="ProductID" w:val="01032, м"/>
        </w:smartTagPr>
        <w:r w:rsidRPr="008A7E85">
          <w:rPr>
            <w:color w:val="000000" w:themeColor="text1"/>
          </w:rPr>
          <w:t>01032, м</w:t>
        </w:r>
      </w:smartTag>
      <w:r w:rsidRPr="008A7E85">
        <w:rPr>
          <w:color w:val="000000" w:themeColor="text1"/>
        </w:rPr>
        <w:t xml:space="preserve">. Київ, вул. С. Петлюри, 27, </w:t>
      </w:r>
      <w:proofErr w:type="spellStart"/>
      <w:r w:rsidRPr="008A7E85">
        <w:rPr>
          <w:color w:val="000000" w:themeColor="text1"/>
        </w:rPr>
        <w:t>каб</w:t>
      </w:r>
      <w:proofErr w:type="spellEnd"/>
      <w:r w:rsidRPr="008A7E85">
        <w:rPr>
          <w:color w:val="000000" w:themeColor="text1"/>
        </w:rPr>
        <w:t xml:space="preserve">. </w:t>
      </w:r>
      <w:r w:rsidRPr="008A7E85">
        <w:rPr>
          <w:color w:val="000000" w:themeColor="text1"/>
          <w:lang w:val="ru-RU"/>
        </w:rPr>
        <w:t>901</w:t>
      </w:r>
      <w:r w:rsidRPr="008A7E85">
        <w:rPr>
          <w:color w:val="000000" w:themeColor="text1"/>
          <w:effect w:val="lights"/>
        </w:rPr>
        <w:t xml:space="preserve">,  </w:t>
      </w:r>
      <w:r w:rsidRPr="008A7E85">
        <w:rPr>
          <w:i/>
          <w:iCs/>
          <w:color w:val="000000" w:themeColor="text1"/>
          <w:effect w:val="lights"/>
        </w:rPr>
        <w:t xml:space="preserve">до </w:t>
      </w:r>
      <w:r w:rsidRPr="008A7E85">
        <w:rPr>
          <w:i/>
          <w:iCs/>
          <w:color w:val="000000" w:themeColor="text1"/>
          <w:effect w:val="lights"/>
          <w:lang w:val="ru-RU"/>
        </w:rPr>
        <w:t>10</w:t>
      </w:r>
      <w:r w:rsidRPr="008A7E85">
        <w:rPr>
          <w:i/>
          <w:iCs/>
          <w:color w:val="000000" w:themeColor="text1"/>
          <w:effect w:val="lights"/>
        </w:rPr>
        <w:t xml:space="preserve">  год. 00 хв. </w:t>
      </w:r>
      <w:r w:rsidRPr="008A7E85">
        <w:rPr>
          <w:i/>
          <w:iCs/>
          <w:color w:val="000000" w:themeColor="text1"/>
          <w:effect w:val="lights"/>
          <w:lang w:val="ru-RU"/>
        </w:rPr>
        <w:t>09.10</w:t>
      </w:r>
      <w:r w:rsidRPr="008A7E85">
        <w:rPr>
          <w:i/>
          <w:iCs/>
          <w:color w:val="000000" w:themeColor="text1"/>
          <w:effect w:val="lights"/>
        </w:rPr>
        <w:t>.201</w:t>
      </w:r>
      <w:r w:rsidRPr="008A7E85">
        <w:rPr>
          <w:i/>
          <w:iCs/>
          <w:color w:val="000000" w:themeColor="text1"/>
          <w:effect w:val="lights"/>
          <w:lang w:val="ru-RU"/>
        </w:rPr>
        <w:t>3</w:t>
      </w:r>
      <w:r w:rsidRPr="008A7E85">
        <w:rPr>
          <w:i/>
          <w:iCs/>
          <w:color w:val="000000" w:themeColor="text1"/>
          <w:effect w:val="lights"/>
        </w:rPr>
        <w:t xml:space="preserve">. </w:t>
      </w:r>
      <w:r w:rsidRPr="008A7E85">
        <w:rPr>
          <w:color w:val="000000" w:themeColor="text1"/>
        </w:rPr>
        <w:t xml:space="preserve">Спосіб надання: особисто або поштою. Розкриття цінових пропозицій: </w:t>
      </w:r>
      <w:smartTag w:uri="urn:schemas-microsoft-com:office:smarttags" w:element="metricconverter">
        <w:smartTagPr>
          <w:attr w:name="ProductID" w:val="01032, м"/>
        </w:smartTagPr>
        <w:r w:rsidRPr="008A7E85">
          <w:rPr>
            <w:color w:val="000000" w:themeColor="text1"/>
          </w:rPr>
          <w:t>01032, м</w:t>
        </w:r>
      </w:smartTag>
      <w:r w:rsidRPr="008A7E85">
        <w:rPr>
          <w:color w:val="000000" w:themeColor="text1"/>
        </w:rPr>
        <w:t xml:space="preserve">. Київ, вул. С. Петлюри, 27, </w:t>
      </w:r>
      <w:proofErr w:type="spellStart"/>
      <w:r w:rsidRPr="008A7E85">
        <w:rPr>
          <w:color w:val="000000" w:themeColor="text1"/>
        </w:rPr>
        <w:t>каб</w:t>
      </w:r>
      <w:proofErr w:type="spellEnd"/>
      <w:r w:rsidRPr="008A7E85">
        <w:rPr>
          <w:color w:val="000000" w:themeColor="text1"/>
        </w:rPr>
        <w:t xml:space="preserve">. 400, </w:t>
      </w:r>
      <w:r w:rsidRPr="008A7E85">
        <w:rPr>
          <w:i/>
          <w:iCs/>
          <w:color w:val="000000" w:themeColor="text1"/>
          <w:effect w:val="antsRed"/>
        </w:rPr>
        <w:t xml:space="preserve">о </w:t>
      </w:r>
      <w:r w:rsidRPr="008A7E85">
        <w:rPr>
          <w:i/>
          <w:iCs/>
          <w:color w:val="000000" w:themeColor="text1"/>
          <w:effect w:val="antsRed"/>
          <w:lang w:val="ru-RU"/>
        </w:rPr>
        <w:t>10</w:t>
      </w:r>
      <w:r w:rsidRPr="008A7E85">
        <w:rPr>
          <w:i/>
          <w:iCs/>
          <w:color w:val="000000" w:themeColor="text1"/>
          <w:effect w:val="antsRed"/>
        </w:rPr>
        <w:t xml:space="preserve"> год. </w:t>
      </w:r>
      <w:r w:rsidRPr="008A7E85">
        <w:rPr>
          <w:i/>
          <w:iCs/>
          <w:color w:val="000000" w:themeColor="text1"/>
          <w:effect w:val="antsRed"/>
          <w:lang w:val="ru-RU"/>
        </w:rPr>
        <w:t>00</w:t>
      </w:r>
      <w:r w:rsidRPr="008A7E85">
        <w:rPr>
          <w:i/>
          <w:iCs/>
          <w:color w:val="000000" w:themeColor="text1"/>
          <w:effect w:val="antsRed"/>
        </w:rPr>
        <w:t xml:space="preserve"> </w:t>
      </w:r>
      <w:proofErr w:type="spellStart"/>
      <w:r w:rsidRPr="008A7E85">
        <w:rPr>
          <w:i/>
          <w:iCs/>
          <w:color w:val="000000" w:themeColor="text1"/>
          <w:effect w:val="antsRed"/>
        </w:rPr>
        <w:t>хв</w:t>
      </w:r>
      <w:proofErr w:type="spellEnd"/>
      <w:r w:rsidRPr="008A7E85">
        <w:rPr>
          <w:i/>
          <w:iCs/>
          <w:color w:val="000000" w:themeColor="text1"/>
          <w:effect w:val="antsRed"/>
        </w:rPr>
        <w:t xml:space="preserve"> </w:t>
      </w:r>
      <w:r>
        <w:rPr>
          <w:i/>
          <w:iCs/>
          <w:color w:val="000000" w:themeColor="text1"/>
        </w:rPr>
        <w:t xml:space="preserve">. </w:t>
      </w:r>
      <w:r w:rsidRPr="008A7E85">
        <w:rPr>
          <w:i/>
          <w:iCs/>
          <w:color w:val="000000" w:themeColor="text1"/>
          <w:effect w:val="antsRed"/>
        </w:rPr>
        <w:t xml:space="preserve">10.10.2013. </w:t>
      </w:r>
    </w:p>
    <w:p w:rsidR="00C91DB6" w:rsidRPr="008A7E85" w:rsidRDefault="00C91DB6" w:rsidP="00C91DB6">
      <w:pPr>
        <w:shd w:val="clear" w:color="auto" w:fill="FFFFFF"/>
        <w:tabs>
          <w:tab w:val="left" w:leader="underscore" w:pos="5626"/>
        </w:tabs>
        <w:ind w:firstLine="540"/>
        <w:jc w:val="both"/>
        <w:rPr>
          <w:color w:val="000000" w:themeColor="text1"/>
        </w:rPr>
      </w:pPr>
      <w:r w:rsidRPr="008A7E85">
        <w:rPr>
          <w:color w:val="000000" w:themeColor="text1"/>
        </w:rPr>
        <w:t>Відповідальні за проведення цінового запиту: Швець Лариса Олександрівна, тел.594-59-66; факс: 594-59-66.</w:t>
      </w:r>
    </w:p>
    <w:p w:rsidR="00C91DB6" w:rsidRPr="008A7E85" w:rsidRDefault="00C91DB6" w:rsidP="00C91DB6">
      <w:pPr>
        <w:ind w:firstLine="708"/>
        <w:jc w:val="both"/>
        <w:rPr>
          <w:color w:val="000000" w:themeColor="text1"/>
        </w:rPr>
      </w:pPr>
    </w:p>
    <w:p w:rsidR="00C91DB6" w:rsidRPr="008A7E85" w:rsidRDefault="00C91DB6" w:rsidP="00C91DB6">
      <w:pPr>
        <w:ind w:right="-284" w:firstLine="360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Додатки: зазначене у 1 прим. на </w:t>
      </w:r>
      <w:r>
        <w:rPr>
          <w:color w:val="000000" w:themeColor="text1"/>
        </w:rPr>
        <w:t>2</w:t>
      </w:r>
      <w:r w:rsidRPr="008A7E85">
        <w:rPr>
          <w:color w:val="000000" w:themeColor="text1"/>
        </w:rPr>
        <w:t xml:space="preserve"> арк.</w:t>
      </w:r>
    </w:p>
    <w:p w:rsidR="00C91DB6" w:rsidRPr="008A7E85" w:rsidRDefault="00C91DB6" w:rsidP="00C91DB6">
      <w:pPr>
        <w:ind w:right="-284" w:firstLine="360"/>
        <w:jc w:val="both"/>
        <w:rPr>
          <w:color w:val="000000" w:themeColor="text1"/>
        </w:rPr>
      </w:pPr>
    </w:p>
    <w:p w:rsidR="00C91DB6" w:rsidRPr="008A7E85" w:rsidRDefault="00C91DB6" w:rsidP="00C91DB6">
      <w:pPr>
        <w:ind w:right="-284" w:firstLine="360"/>
        <w:jc w:val="both"/>
        <w:rPr>
          <w:color w:val="000000" w:themeColor="text1"/>
        </w:rPr>
      </w:pPr>
    </w:p>
    <w:p w:rsidR="00C91DB6" w:rsidRPr="008A7E85" w:rsidRDefault="00C91DB6" w:rsidP="00C91DB6">
      <w:pPr>
        <w:ind w:right="-284"/>
        <w:jc w:val="both"/>
        <w:rPr>
          <w:color w:val="000000" w:themeColor="text1"/>
        </w:rPr>
      </w:pPr>
      <w:r w:rsidRPr="008A7E85">
        <w:rPr>
          <w:color w:val="000000" w:themeColor="text1"/>
        </w:rPr>
        <w:t>Голова Комісії з регулювання здійснення господарських закупівель</w:t>
      </w:r>
    </w:p>
    <w:p w:rsidR="00C91DB6" w:rsidRPr="008A7E85" w:rsidRDefault="00C91DB6" w:rsidP="00C91DB6">
      <w:pPr>
        <w:ind w:right="-284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Заступник директора з економіки та фінансів </w:t>
      </w:r>
      <w:r w:rsidRPr="008A7E85">
        <w:rPr>
          <w:color w:val="000000" w:themeColor="text1"/>
        </w:rPr>
        <w:tab/>
      </w:r>
      <w:r w:rsidRPr="008A7E85">
        <w:rPr>
          <w:color w:val="000000" w:themeColor="text1"/>
        </w:rPr>
        <w:tab/>
      </w:r>
      <w:r w:rsidRPr="008A7E85">
        <w:rPr>
          <w:color w:val="000000" w:themeColor="text1"/>
        </w:rPr>
        <w:tab/>
      </w:r>
      <w:r w:rsidRPr="008A7E85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</w:t>
      </w:r>
      <w:r w:rsidRPr="008A7E85">
        <w:rPr>
          <w:color w:val="000000" w:themeColor="text1"/>
        </w:rPr>
        <w:t xml:space="preserve">Р.В. </w:t>
      </w:r>
      <w:proofErr w:type="spellStart"/>
      <w:r w:rsidRPr="008A7E85">
        <w:rPr>
          <w:color w:val="000000" w:themeColor="text1"/>
        </w:rPr>
        <w:t>Сутченко</w:t>
      </w:r>
      <w:proofErr w:type="spellEnd"/>
    </w:p>
    <w:p w:rsidR="00066A93" w:rsidRPr="008A7E85" w:rsidRDefault="00066A93" w:rsidP="00066A93">
      <w:pPr>
        <w:ind w:right="-284" w:firstLine="360"/>
        <w:jc w:val="both"/>
        <w:rPr>
          <w:color w:val="000000" w:themeColor="text1"/>
        </w:rPr>
      </w:pPr>
    </w:p>
    <w:p w:rsidR="00066A93" w:rsidRPr="008A7E85" w:rsidRDefault="00066A93" w:rsidP="00066A93">
      <w:pPr>
        <w:ind w:right="-284" w:firstLine="360"/>
        <w:jc w:val="both"/>
        <w:rPr>
          <w:color w:val="000000" w:themeColor="text1"/>
        </w:rPr>
      </w:pPr>
    </w:p>
    <w:p w:rsidR="00066A93" w:rsidRDefault="00066A93" w:rsidP="00066A93">
      <w:pPr>
        <w:ind w:right="-284" w:firstLine="360"/>
        <w:jc w:val="both"/>
        <w:rPr>
          <w:color w:val="000000" w:themeColor="text1"/>
        </w:rPr>
      </w:pPr>
    </w:p>
    <w:p w:rsidR="00C91DB6" w:rsidRDefault="00C91DB6" w:rsidP="00066A93">
      <w:pPr>
        <w:ind w:right="-284" w:firstLine="360"/>
        <w:jc w:val="both"/>
        <w:rPr>
          <w:color w:val="000000" w:themeColor="text1"/>
        </w:rPr>
      </w:pPr>
    </w:p>
    <w:p w:rsidR="00C91DB6" w:rsidRDefault="00C91DB6" w:rsidP="00066A93">
      <w:pPr>
        <w:ind w:right="-284" w:firstLine="360"/>
        <w:jc w:val="both"/>
        <w:rPr>
          <w:color w:val="000000" w:themeColor="text1"/>
        </w:rPr>
      </w:pPr>
    </w:p>
    <w:p w:rsidR="00066A93" w:rsidRPr="008A7E85" w:rsidRDefault="00066A93" w:rsidP="00066A93">
      <w:pPr>
        <w:ind w:right="-284" w:firstLine="360"/>
        <w:jc w:val="both"/>
        <w:rPr>
          <w:color w:val="000000" w:themeColor="text1"/>
        </w:rPr>
      </w:pPr>
    </w:p>
    <w:p w:rsidR="00066A93" w:rsidRPr="008A7E85" w:rsidRDefault="00066A93" w:rsidP="00066A93">
      <w:pPr>
        <w:ind w:right="-284" w:firstLine="360"/>
        <w:jc w:val="both"/>
        <w:rPr>
          <w:color w:val="000000" w:themeColor="text1"/>
        </w:rPr>
      </w:pPr>
    </w:p>
    <w:p w:rsidR="00C91DB6" w:rsidRDefault="00C91DB6" w:rsidP="00C91DB6">
      <w:pPr>
        <w:ind w:right="-284" w:firstLine="360"/>
        <w:jc w:val="both"/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Швець 594-59-66</w:t>
      </w:r>
    </w:p>
    <w:p w:rsidR="00C91DB6" w:rsidRDefault="00C91DB6" w:rsidP="001E2400">
      <w:pPr>
        <w:tabs>
          <w:tab w:val="left" w:pos="5400"/>
        </w:tabs>
        <w:jc w:val="right"/>
        <w:rPr>
          <w:color w:val="000000" w:themeColor="text1"/>
        </w:rPr>
      </w:pPr>
    </w:p>
    <w:p w:rsidR="00C91DB6" w:rsidRDefault="00C91DB6" w:rsidP="001E2400">
      <w:pPr>
        <w:tabs>
          <w:tab w:val="left" w:pos="5400"/>
        </w:tabs>
        <w:jc w:val="right"/>
        <w:rPr>
          <w:color w:val="000000" w:themeColor="text1"/>
        </w:rPr>
      </w:pPr>
    </w:p>
    <w:p w:rsidR="00C91DB6" w:rsidRDefault="00C91DB6" w:rsidP="001E2400">
      <w:pPr>
        <w:tabs>
          <w:tab w:val="left" w:pos="5400"/>
        </w:tabs>
        <w:jc w:val="right"/>
        <w:rPr>
          <w:color w:val="000000" w:themeColor="text1"/>
        </w:rPr>
      </w:pPr>
    </w:p>
    <w:p w:rsidR="00C91DB6" w:rsidRDefault="00C91DB6" w:rsidP="001E2400">
      <w:pPr>
        <w:tabs>
          <w:tab w:val="left" w:pos="5400"/>
        </w:tabs>
        <w:jc w:val="right"/>
        <w:rPr>
          <w:color w:val="000000" w:themeColor="text1"/>
        </w:rPr>
      </w:pPr>
    </w:p>
    <w:p w:rsidR="00C763B0" w:rsidRPr="008A7E85" w:rsidRDefault="001E2400" w:rsidP="001E2400">
      <w:pPr>
        <w:tabs>
          <w:tab w:val="left" w:pos="5400"/>
        </w:tabs>
        <w:jc w:val="right"/>
        <w:rPr>
          <w:color w:val="000000" w:themeColor="text1"/>
        </w:rPr>
      </w:pPr>
      <w:r w:rsidRPr="008A7E85">
        <w:rPr>
          <w:color w:val="000000" w:themeColor="text1"/>
        </w:rPr>
        <w:t xml:space="preserve">Додаток </w:t>
      </w:r>
      <w:r w:rsidR="00C763B0" w:rsidRPr="008A7E85">
        <w:rPr>
          <w:color w:val="000000" w:themeColor="text1"/>
        </w:rPr>
        <w:t xml:space="preserve">до листа </w:t>
      </w:r>
      <w:proofErr w:type="spellStart"/>
      <w:r w:rsidR="00C763B0" w:rsidRPr="008A7E85">
        <w:rPr>
          <w:color w:val="000000" w:themeColor="text1"/>
        </w:rPr>
        <w:t>ДП</w:t>
      </w:r>
      <w:proofErr w:type="spellEnd"/>
      <w:r w:rsidR="00C763B0" w:rsidRPr="008A7E85">
        <w:rPr>
          <w:color w:val="000000" w:themeColor="text1"/>
        </w:rPr>
        <w:t> </w:t>
      </w:r>
      <w:proofErr w:type="spellStart"/>
      <w:r w:rsidR="00C763B0" w:rsidRPr="008A7E85">
        <w:rPr>
          <w:color w:val="000000" w:themeColor="text1"/>
        </w:rPr>
        <w:t>“Енергоринок”</w:t>
      </w:r>
      <w:proofErr w:type="spellEnd"/>
    </w:p>
    <w:p w:rsidR="00C763B0" w:rsidRPr="008A7E85" w:rsidRDefault="00C763B0" w:rsidP="00CD6FAB">
      <w:pPr>
        <w:tabs>
          <w:tab w:val="left" w:pos="5400"/>
        </w:tabs>
        <w:ind w:left="6521"/>
        <w:rPr>
          <w:color w:val="000000" w:themeColor="text1"/>
        </w:rPr>
      </w:pPr>
      <w:proofErr w:type="spellStart"/>
      <w:r w:rsidRPr="008A7E85">
        <w:rPr>
          <w:color w:val="000000" w:themeColor="text1"/>
        </w:rPr>
        <w:t>від____________</w:t>
      </w:r>
      <w:proofErr w:type="spellEnd"/>
      <w:r w:rsidRPr="008A7E85">
        <w:rPr>
          <w:color w:val="000000" w:themeColor="text1"/>
        </w:rPr>
        <w:t>___№___________</w:t>
      </w:r>
    </w:p>
    <w:p w:rsidR="00C763B0" w:rsidRPr="008A7E85" w:rsidRDefault="00C763B0" w:rsidP="00CD6FAB">
      <w:pPr>
        <w:tabs>
          <w:tab w:val="left" w:pos="5400"/>
        </w:tabs>
        <w:jc w:val="center"/>
        <w:rPr>
          <w:b/>
          <w:color w:val="000000" w:themeColor="text1"/>
        </w:rPr>
      </w:pPr>
      <w:r w:rsidRPr="008A7E85">
        <w:rPr>
          <w:b/>
          <w:color w:val="000000" w:themeColor="text1"/>
        </w:rPr>
        <w:t>Технічні вимоги</w:t>
      </w:r>
    </w:p>
    <w:p w:rsidR="00C763B0" w:rsidRPr="008A7E85" w:rsidRDefault="00C763B0" w:rsidP="002171DD">
      <w:pPr>
        <w:ind w:right="22"/>
        <w:jc w:val="center"/>
        <w:rPr>
          <w:color w:val="000000" w:themeColor="text1"/>
        </w:rPr>
      </w:pPr>
      <w:r w:rsidRPr="008A7E85">
        <w:rPr>
          <w:color w:val="000000" w:themeColor="text1"/>
        </w:rPr>
        <w:t xml:space="preserve">щодо послуг на приведення до відповідності нормативній базі із збереженням первісної функціональності автоматизованої інформаційної системи </w:t>
      </w:r>
      <w:proofErr w:type="spellStart"/>
      <w:r w:rsidRPr="008A7E85">
        <w:rPr>
          <w:color w:val="000000" w:themeColor="text1"/>
        </w:rPr>
        <w:t>“Використання</w:t>
      </w:r>
      <w:proofErr w:type="spellEnd"/>
      <w:r w:rsidRPr="008A7E85">
        <w:rPr>
          <w:color w:val="000000" w:themeColor="text1"/>
        </w:rPr>
        <w:t xml:space="preserve"> даних, отриманих з автоматизованих систем комерційного обліку електричної енергії суб’єктів </w:t>
      </w:r>
      <w:proofErr w:type="spellStart"/>
      <w:r w:rsidRPr="008A7E85">
        <w:rPr>
          <w:color w:val="000000" w:themeColor="text1"/>
        </w:rPr>
        <w:t>ОРЕ”</w:t>
      </w:r>
      <w:proofErr w:type="spellEnd"/>
      <w:r w:rsidRPr="008A7E85">
        <w:rPr>
          <w:color w:val="000000" w:themeColor="text1"/>
        </w:rPr>
        <w:t xml:space="preserve"> (без застосування даних макетів 30817, 30900) (Тимчасовий порядок підготовки та передачі даних АСКОЕ суб’єктами ОРЕ для використання в розрахунках обсягів купівлі-продажу електричної енергії, погоджений рішенням Ради ОРЕ протокол від 23.11.2011 №17 п.8.2 та постановою НКРЕ від 12.01.2012 №10)</w:t>
      </w:r>
    </w:p>
    <w:p w:rsidR="00C763B0" w:rsidRPr="008A7E85" w:rsidRDefault="00C763B0" w:rsidP="002171DD">
      <w:pPr>
        <w:ind w:firstLine="1134"/>
        <w:jc w:val="both"/>
        <w:rPr>
          <w:color w:val="000000" w:themeColor="text1"/>
        </w:rPr>
      </w:pP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Автоматизована інформаційна система </w:t>
      </w:r>
      <w:proofErr w:type="spellStart"/>
      <w:r w:rsidRPr="008A7E85">
        <w:rPr>
          <w:color w:val="000000" w:themeColor="text1"/>
        </w:rPr>
        <w:t>“Використання</w:t>
      </w:r>
      <w:proofErr w:type="spellEnd"/>
      <w:r w:rsidRPr="008A7E85">
        <w:rPr>
          <w:color w:val="000000" w:themeColor="text1"/>
        </w:rPr>
        <w:t xml:space="preserve"> даних, отриманих з автоматизованих систем комерційного обліку електричної енергії суб’єктів </w:t>
      </w:r>
      <w:proofErr w:type="spellStart"/>
      <w:r w:rsidRPr="008A7E85">
        <w:rPr>
          <w:color w:val="000000" w:themeColor="text1"/>
        </w:rPr>
        <w:t>ОРЕ”</w:t>
      </w:r>
      <w:proofErr w:type="spellEnd"/>
      <w:r w:rsidRPr="008A7E85">
        <w:rPr>
          <w:color w:val="000000" w:themeColor="text1"/>
        </w:rPr>
        <w:t xml:space="preserve"> (АІС ВДКО) приводиться до відповідності нормативній базі в II етапи.</w:t>
      </w: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I етап включає в себе:</w:t>
      </w:r>
    </w:p>
    <w:p w:rsidR="00C763B0" w:rsidRPr="008A7E85" w:rsidRDefault="00C763B0" w:rsidP="002171DD">
      <w:pPr>
        <w:numPr>
          <w:ilvl w:val="0"/>
          <w:numId w:val="10"/>
        </w:numPr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Приведення до відповідності нормативній базі підсистему верифікації даних (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>).</w:t>
      </w:r>
    </w:p>
    <w:p w:rsidR="00C763B0" w:rsidRPr="008A7E85" w:rsidRDefault="00C763B0" w:rsidP="002171DD">
      <w:pPr>
        <w:ind w:right="22" w:firstLine="851"/>
        <w:jc w:val="both"/>
        <w:rPr>
          <w:color w:val="000000" w:themeColor="text1"/>
        </w:rPr>
      </w:pP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приводиться до відповідності нормативній базі з метою верифікації (перевірки) агрегованих даних комерційного обліку, що надходять від автоматизованих систем комерційного обліку електричної енергії (АСКОЕ) суб’єктів Оптового ринку електричної енергії (ОРЕ) України до інформаційно-обчислювального комплексу (</w:t>
      </w:r>
      <w:proofErr w:type="spellStart"/>
      <w:r w:rsidRPr="008A7E85">
        <w:rPr>
          <w:color w:val="000000" w:themeColor="text1"/>
        </w:rPr>
        <w:t>ІОК</w:t>
      </w:r>
      <w:proofErr w:type="spellEnd"/>
      <w:r w:rsidRPr="008A7E85">
        <w:rPr>
          <w:color w:val="000000" w:themeColor="text1"/>
        </w:rPr>
        <w:t>) головного оператора (ГО), з метою визначення їхньої достовірності та придатності до застосування під час розрахунків за електричну енергію в ОРЕ України (перевірка виконання п.6.2 та 6.3 Тимчасового порядку підготовки та передачі даних АСКОЕ суб’єктами ОРЕ для використання в розрахунках обсягів купівлі-продажу електричної енергії, погодженого рішенням Ради ОРЕ протокол від 23.11.2011 №17 п.8.2 та постановою НКРЕ від 12.01.2012 №10).</w:t>
      </w: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повинна забезпечувати визначення на підставі первинних даних обліку даних комерційного обліку по точках комерційного обліку та агрегованих даних комерційного обліку електричної енергії згідно з уніфікованим реєстром даних (УРД), зокрема результуючих значень сальдо перетоків електричної енергії між електричними мережами суміжних суб’єктів ОРЕ та інших агрегованих параметрів комерційного обліку електричної енергії під час проведення розрахунків в ОРЕ України.</w:t>
      </w: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повинна забезпечувати: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276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формування та підтримку цілісності бази даних реєстру комерційного обліку електроенергії постачальників за нерегульованим тарифом (БД РКОЕ ПНТ);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імпорт первинних даних обліку з файлів уніфікованого формату до уніфікованої бази даних (УБД) </w:t>
      </w:r>
      <w:proofErr w:type="spellStart"/>
      <w:r w:rsidRPr="008A7E85">
        <w:rPr>
          <w:color w:val="000000" w:themeColor="text1"/>
        </w:rPr>
        <w:t>ІОК</w:t>
      </w:r>
      <w:proofErr w:type="spellEnd"/>
      <w:r w:rsidRPr="008A7E85">
        <w:rPr>
          <w:color w:val="000000" w:themeColor="text1"/>
        </w:rPr>
        <w:t xml:space="preserve"> ГО з погодженням структур, форматів та ознак якості цих даних;</w:t>
      </w:r>
    </w:p>
    <w:p w:rsidR="00C763B0" w:rsidRPr="008A7E85" w:rsidRDefault="00C763B0" w:rsidP="002171DD">
      <w:pPr>
        <w:numPr>
          <w:ilvl w:val="0"/>
          <w:numId w:val="12"/>
        </w:numPr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імпорт агрегованих погодинних даних з файлів уніфікованого формату до уніфікованої бази даних (УБД) </w:t>
      </w:r>
      <w:proofErr w:type="spellStart"/>
      <w:r w:rsidRPr="008A7E85">
        <w:rPr>
          <w:color w:val="000000" w:themeColor="text1"/>
        </w:rPr>
        <w:t>ІОК</w:t>
      </w:r>
      <w:proofErr w:type="spellEnd"/>
      <w:r w:rsidRPr="008A7E85">
        <w:rPr>
          <w:color w:val="000000" w:themeColor="text1"/>
        </w:rPr>
        <w:t xml:space="preserve"> ГО щодо:</w:t>
      </w: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а) втрат в трансформаторах та лініях електропередач для приведення обсягів електричної енергії до межі балансової належності споживача ПНТ;</w:t>
      </w: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б) втрат в елементах мережі споживача ПНТ, пов’язаних з транзитом електричної енергії в мережі ПРТ або </w:t>
      </w:r>
      <w:proofErr w:type="spellStart"/>
      <w:r w:rsidRPr="008A7E85">
        <w:rPr>
          <w:color w:val="000000" w:themeColor="text1"/>
        </w:rPr>
        <w:t>субспоживачів</w:t>
      </w:r>
      <w:proofErr w:type="spellEnd"/>
      <w:r w:rsidRPr="008A7E85">
        <w:rPr>
          <w:color w:val="000000" w:themeColor="text1"/>
        </w:rPr>
        <w:t>;</w:t>
      </w: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в) обсягів споживання електричної енергії з окремих площадок вимірювання споживача ПНТ та </w:t>
      </w:r>
      <w:proofErr w:type="spellStart"/>
      <w:r w:rsidRPr="008A7E85">
        <w:rPr>
          <w:color w:val="000000" w:themeColor="text1"/>
        </w:rPr>
        <w:t>субспоживачів</w:t>
      </w:r>
      <w:proofErr w:type="spellEnd"/>
      <w:r w:rsidRPr="008A7E85">
        <w:rPr>
          <w:color w:val="000000" w:themeColor="text1"/>
        </w:rPr>
        <w:t>, середньомісячний обсяг споживання яких менше 50 тис.кВт*</w:t>
      </w:r>
      <w:proofErr w:type="spellStart"/>
      <w:r w:rsidRPr="008A7E85">
        <w:rPr>
          <w:color w:val="000000" w:themeColor="text1"/>
        </w:rPr>
        <w:t>год</w:t>
      </w:r>
      <w:proofErr w:type="spellEnd"/>
      <w:r w:rsidRPr="008A7E85">
        <w:rPr>
          <w:color w:val="000000" w:themeColor="text1"/>
        </w:rPr>
        <w:t>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формування та підтримку цілісності бази даних нормативно-довідкової інформації (БД НДІ): констант, коефіцієнтів та інших довідкових даних з метою забезпечення можливості приведення первинних даних обліку до точок комерційного обліку та визначення даних комерційного обліку по точках комерційного обліку ОРЕ;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зберігання довідкових даних в БД НДІ;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формування та підтримку цілісності бази даних (БД) розрахункових схем (алгоритмів) приведення первинних даних обліку до точок комерційного обліку та визначення даних комерційного обліку по точках комерційного обліку ОРЕ;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зберігання розрахункових схем (алгоритмів) в БД;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приведення первинних даних обліку до точок комерційного обліку та визначення даних комерційного обліку по точках комерційного обліку;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lastRenderedPageBreak/>
        <w:t>формування та підтримку цілісності БД правил (алгоритмів) агрегування даних комерційного обліку по суб’єктах ОРЕ;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зберігання правил (алгоритмів) агрегування даних комерційного обліку в БД;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агрегування даних комерційного обліку, визначення агрегованих параметрів комерційного обліку електричної енергії згідно з УРД, зокрема результуючих значень сальдо перетоків між електричними мережами суміжних суб’єктів ОРЕ та інших агрегованих параметрів комерційного обліку електроенергії під час проведення розрахунків в ОРЕ України;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верифікацію обчислених даних комерційного обліку шляхом їхнього порівняння із даними макета 30904, макета 30900 та форми 8А.</w:t>
      </w:r>
    </w:p>
    <w:p w:rsidR="00C763B0" w:rsidRPr="008A7E85" w:rsidRDefault="00C763B0" w:rsidP="002171DD">
      <w:pPr>
        <w:tabs>
          <w:tab w:val="left" w:pos="1134"/>
        </w:tabs>
        <w:ind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Під час приведення до відповідності нормативній базі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повинно бути реалізовано: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структура БД РКОЕ ПНТ;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структура БД НДІ;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структура бази даних розрахункових схем (алгоритмів) приведення первинних даних обліку до точок комерційного обліку та визначення даних комерційного обліку по точках комерційного обліку;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структура БД правил (алгоритмів) агрегування даних комерційного обліку;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приведення до відповідності нормативній базі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в частині завантаження (імпортування) з файлів уніфікованого формату до УБД </w:t>
      </w:r>
      <w:proofErr w:type="spellStart"/>
      <w:r w:rsidRPr="008A7E85">
        <w:rPr>
          <w:color w:val="000000" w:themeColor="text1"/>
        </w:rPr>
        <w:t>ІОК</w:t>
      </w:r>
      <w:proofErr w:type="spellEnd"/>
      <w:r w:rsidRPr="008A7E85">
        <w:rPr>
          <w:color w:val="000000" w:themeColor="text1"/>
        </w:rPr>
        <w:t xml:space="preserve"> ГО первинних даних обліку та агрегованих погодинних даних з погодженням структур, форматів та ознак якості цих даних;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приведення до відповідності нормативній базі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в частині приведення первинних даних обліку до точок комерційного обліку та визначення даних комерційного обліку по точках комерційного обліку;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приведення до відповідності нормативній базі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в частині агрегування даних комерційного обліку;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приведення до відповідності нормативній базі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в частині відображення та документування протоколів розрахунків (обчислень);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приведення до відповідності нормативній базі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в частині відображення та документування даних комерційного обліку по точках комерційного обліку та агрегованих параметрів комерційного обліку згідно з УРД;</w:t>
      </w:r>
    </w:p>
    <w:p w:rsidR="00C763B0" w:rsidRPr="008A7E85" w:rsidRDefault="00C763B0" w:rsidP="002171DD">
      <w:pPr>
        <w:numPr>
          <w:ilvl w:val="0"/>
          <w:numId w:val="12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інтерфейс верифікації обчислених даних комерційного обліку шляхом їхнього порівняння із даними макета 30904, макета 30900 та форми 8А.</w:t>
      </w: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повинна забезпечувати можливість формування ГО на підставі первинних даних обліку результуючих значень даних комерційного обліку та агрегованих параметрів комерційного обліку електроенергії в повному обсязі відповідно до УРД. На кожному етапі визначення та агрегування даних комерційного обліку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повинна надавати детальні інструкції ГО щодо виконання поточної операції. Такі інструкції повинні забезпечити виконання ГО поточної операції в повному обсязі. Допускається робити в керівництвах (інструкціях) посилання на інструктивні повідомлення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. В разі відсутності необхідних повідомлень 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 xml:space="preserve"> відповідні інструкції повинні міститися в експлуатаційній документації.</w:t>
      </w:r>
    </w:p>
    <w:p w:rsidR="00C763B0" w:rsidRPr="008A7E85" w:rsidRDefault="00C763B0" w:rsidP="002171DD">
      <w:pPr>
        <w:numPr>
          <w:ilvl w:val="0"/>
          <w:numId w:val="10"/>
        </w:numPr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Розробити наступну експлуатаційну документацію для ГО:</w:t>
      </w:r>
    </w:p>
    <w:p w:rsidR="00C763B0" w:rsidRPr="008A7E85" w:rsidRDefault="00C763B0" w:rsidP="002171DD">
      <w:pPr>
        <w:numPr>
          <w:ilvl w:val="1"/>
          <w:numId w:val="11"/>
        </w:numPr>
        <w:ind w:hanging="589"/>
        <w:jc w:val="both"/>
        <w:rPr>
          <w:color w:val="000000" w:themeColor="text1"/>
        </w:rPr>
      </w:pPr>
      <w:r w:rsidRPr="008A7E85">
        <w:rPr>
          <w:color w:val="000000" w:themeColor="text1"/>
        </w:rPr>
        <w:t>Керівництво користувача (оператора).</w:t>
      </w:r>
    </w:p>
    <w:p w:rsidR="00C763B0" w:rsidRPr="008A7E85" w:rsidRDefault="00C763B0" w:rsidP="002171DD">
      <w:pPr>
        <w:numPr>
          <w:ilvl w:val="1"/>
          <w:numId w:val="11"/>
        </w:numPr>
        <w:ind w:hanging="589"/>
        <w:jc w:val="both"/>
        <w:rPr>
          <w:color w:val="000000" w:themeColor="text1"/>
        </w:rPr>
      </w:pPr>
      <w:r w:rsidRPr="008A7E85">
        <w:rPr>
          <w:color w:val="000000" w:themeColor="text1"/>
        </w:rPr>
        <w:t>Керівництво програміста (адміністратора).</w:t>
      </w:r>
    </w:p>
    <w:p w:rsidR="00C763B0" w:rsidRPr="008A7E85" w:rsidRDefault="00C763B0" w:rsidP="002171DD">
      <w:pPr>
        <w:numPr>
          <w:ilvl w:val="1"/>
          <w:numId w:val="11"/>
        </w:numPr>
        <w:ind w:hanging="589"/>
        <w:jc w:val="both"/>
        <w:rPr>
          <w:color w:val="000000" w:themeColor="text1"/>
        </w:rPr>
      </w:pPr>
      <w:r w:rsidRPr="008A7E85">
        <w:rPr>
          <w:color w:val="000000" w:themeColor="text1"/>
        </w:rPr>
        <w:t>Інструкція з підготовки первинних даних обліку електроенергії.</w:t>
      </w:r>
    </w:p>
    <w:p w:rsidR="00C763B0" w:rsidRPr="008A7E85" w:rsidRDefault="00C763B0" w:rsidP="002171DD">
      <w:pPr>
        <w:ind w:left="1440"/>
        <w:jc w:val="both"/>
        <w:rPr>
          <w:color w:val="000000" w:themeColor="text1"/>
        </w:rPr>
      </w:pPr>
    </w:p>
    <w:p w:rsidR="00C763B0" w:rsidRPr="008A7E85" w:rsidRDefault="00C763B0" w:rsidP="002171DD">
      <w:pPr>
        <w:ind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 xml:space="preserve">II етап включає в себе: </w:t>
      </w:r>
    </w:p>
    <w:p w:rsidR="00C763B0" w:rsidRPr="008A7E85" w:rsidRDefault="00C763B0" w:rsidP="002171DD">
      <w:pPr>
        <w:numPr>
          <w:ilvl w:val="0"/>
          <w:numId w:val="13"/>
        </w:numPr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Приведення до відповідності нормативній базі підсистему верифікації даних (</w:t>
      </w:r>
      <w:proofErr w:type="spellStart"/>
      <w:r w:rsidRPr="008A7E85">
        <w:rPr>
          <w:color w:val="000000" w:themeColor="text1"/>
        </w:rPr>
        <w:t>ПВ</w:t>
      </w:r>
      <w:proofErr w:type="spellEnd"/>
      <w:r w:rsidRPr="008A7E85">
        <w:rPr>
          <w:color w:val="000000" w:themeColor="text1"/>
        </w:rPr>
        <w:t>) в частині:</w:t>
      </w:r>
    </w:p>
    <w:p w:rsidR="00C763B0" w:rsidRPr="008A7E85" w:rsidRDefault="00C763B0" w:rsidP="002171DD">
      <w:pPr>
        <w:numPr>
          <w:ilvl w:val="1"/>
          <w:numId w:val="13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Створення інтерфейсу завантаження нормативно-довідкової інформації до БД НДІ.</w:t>
      </w:r>
    </w:p>
    <w:p w:rsidR="00C763B0" w:rsidRPr="008A7E85" w:rsidRDefault="00C763B0" w:rsidP="002171DD">
      <w:pPr>
        <w:numPr>
          <w:ilvl w:val="1"/>
          <w:numId w:val="13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Створення інтерфейсу завантаження схем (алгоритмів) приведення первинних даних обліку до точок комерційного обліку та визначення даних комерційного обліку по точках комерційного обліку до БД.</w:t>
      </w:r>
    </w:p>
    <w:p w:rsidR="00C763B0" w:rsidRPr="008A7E85" w:rsidRDefault="00C763B0" w:rsidP="002171DD">
      <w:pPr>
        <w:numPr>
          <w:ilvl w:val="1"/>
          <w:numId w:val="13"/>
        </w:numPr>
        <w:tabs>
          <w:tab w:val="left" w:pos="1134"/>
        </w:tabs>
        <w:ind w:left="0" w:firstLine="851"/>
        <w:jc w:val="both"/>
        <w:rPr>
          <w:color w:val="000000" w:themeColor="text1"/>
        </w:rPr>
      </w:pPr>
      <w:r w:rsidRPr="008A7E85">
        <w:rPr>
          <w:color w:val="000000" w:themeColor="text1"/>
        </w:rPr>
        <w:t>Створення інтерфейсу завантаження правил (алгоритмів) агрегування даних комерційного обліку до БД.</w:t>
      </w:r>
    </w:p>
    <w:p w:rsidR="00C763B0" w:rsidRPr="008A7E85" w:rsidRDefault="00C763B0" w:rsidP="002171DD">
      <w:pPr>
        <w:numPr>
          <w:ilvl w:val="0"/>
          <w:numId w:val="14"/>
        </w:numPr>
        <w:ind w:hanging="643"/>
        <w:jc w:val="both"/>
        <w:rPr>
          <w:color w:val="000000" w:themeColor="text1"/>
        </w:rPr>
      </w:pPr>
      <w:r w:rsidRPr="008A7E85">
        <w:rPr>
          <w:color w:val="000000" w:themeColor="text1"/>
        </w:rPr>
        <w:t>Внести зміни в наступну експлуатаційну документацію для ГО:</w:t>
      </w:r>
    </w:p>
    <w:p w:rsidR="00C763B0" w:rsidRPr="008A7E85" w:rsidRDefault="00C763B0" w:rsidP="002171DD">
      <w:pPr>
        <w:numPr>
          <w:ilvl w:val="1"/>
          <w:numId w:val="15"/>
        </w:numPr>
        <w:ind w:hanging="589"/>
        <w:jc w:val="both"/>
        <w:rPr>
          <w:color w:val="000000" w:themeColor="text1"/>
        </w:rPr>
      </w:pPr>
      <w:r w:rsidRPr="008A7E85">
        <w:rPr>
          <w:color w:val="000000" w:themeColor="text1"/>
        </w:rPr>
        <w:t>Керівництво користувача (оператора).</w:t>
      </w:r>
    </w:p>
    <w:p w:rsidR="00C763B0" w:rsidRPr="00C91DB6" w:rsidRDefault="00C763B0" w:rsidP="00BA2B09">
      <w:pPr>
        <w:numPr>
          <w:ilvl w:val="1"/>
          <w:numId w:val="15"/>
        </w:numPr>
        <w:ind w:hanging="589"/>
        <w:jc w:val="both"/>
        <w:rPr>
          <w:color w:val="000000" w:themeColor="text1"/>
        </w:rPr>
      </w:pPr>
      <w:r w:rsidRPr="008A7E85">
        <w:rPr>
          <w:color w:val="000000" w:themeColor="text1"/>
        </w:rPr>
        <w:t>Керівництво програміста (адміністратора).</w:t>
      </w:r>
    </w:p>
    <w:sectPr w:rsidR="00C763B0" w:rsidRPr="00C91DB6" w:rsidSect="00C91DB6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5284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C635B96"/>
    <w:multiLevelType w:val="multilevel"/>
    <w:tmpl w:val="19C62A46"/>
    <w:lvl w:ilvl="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cs="Times New Roman" w:hint="default"/>
      </w:rPr>
    </w:lvl>
  </w:abstractNum>
  <w:abstractNum w:abstractNumId="2">
    <w:nsid w:val="0DC57AB2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3">
    <w:nsid w:val="17E67F98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">
    <w:nsid w:val="19DE0FE4"/>
    <w:multiLevelType w:val="hybridMultilevel"/>
    <w:tmpl w:val="B10CA880"/>
    <w:lvl w:ilvl="0" w:tplc="D3F4B4F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A3567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6">
    <w:nsid w:val="324F4683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>
    <w:nsid w:val="54657B68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8">
    <w:nsid w:val="5EB62BBA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9">
    <w:nsid w:val="646D6CA0"/>
    <w:multiLevelType w:val="hybridMultilevel"/>
    <w:tmpl w:val="DF74F284"/>
    <w:lvl w:ilvl="0" w:tplc="43C8E578">
      <w:start w:val="1"/>
      <w:numFmt w:val="decimal"/>
      <w:lvlText w:val="%1."/>
      <w:lvlJc w:val="left"/>
      <w:pPr>
        <w:ind w:left="7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0">
    <w:nsid w:val="65275444"/>
    <w:multiLevelType w:val="multilevel"/>
    <w:tmpl w:val="F49EF72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66FD446A"/>
    <w:multiLevelType w:val="multilevel"/>
    <w:tmpl w:val="4D4CF648"/>
    <w:lvl w:ilvl="0">
      <w:start w:val="2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cs="Times New Roman" w:hint="default"/>
      </w:rPr>
    </w:lvl>
  </w:abstractNum>
  <w:abstractNum w:abstractNumId="12">
    <w:nsid w:val="705F4929"/>
    <w:multiLevelType w:val="multilevel"/>
    <w:tmpl w:val="78B8858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3">
    <w:nsid w:val="71C7242B"/>
    <w:multiLevelType w:val="multilevel"/>
    <w:tmpl w:val="4A3672C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6"/>
  </w:num>
  <w:num w:numId="8">
    <w:abstractNumId w:val="9"/>
  </w:num>
  <w:num w:numId="9">
    <w:abstractNumId w:val="2"/>
  </w:num>
  <w:num w:numId="10">
    <w:abstractNumId w:val="1"/>
  </w:num>
  <w:num w:numId="11">
    <w:abstractNumId w:val="10"/>
  </w:num>
  <w:num w:numId="12">
    <w:abstractNumId w:val="4"/>
  </w:num>
  <w:num w:numId="13">
    <w:abstractNumId w:val="13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668"/>
    <w:rsid w:val="0004221C"/>
    <w:rsid w:val="00066A93"/>
    <w:rsid w:val="00080304"/>
    <w:rsid w:val="000C7ABC"/>
    <w:rsid w:val="0016325D"/>
    <w:rsid w:val="0017377F"/>
    <w:rsid w:val="001B0A45"/>
    <w:rsid w:val="001B11FE"/>
    <w:rsid w:val="001C6003"/>
    <w:rsid w:val="001D2B5E"/>
    <w:rsid w:val="001E2400"/>
    <w:rsid w:val="00202045"/>
    <w:rsid w:val="00207344"/>
    <w:rsid w:val="002171DD"/>
    <w:rsid w:val="00280477"/>
    <w:rsid w:val="002D0D58"/>
    <w:rsid w:val="00335268"/>
    <w:rsid w:val="00360056"/>
    <w:rsid w:val="0036182B"/>
    <w:rsid w:val="00385B01"/>
    <w:rsid w:val="003D2E6D"/>
    <w:rsid w:val="003D7757"/>
    <w:rsid w:val="0041288C"/>
    <w:rsid w:val="004647E7"/>
    <w:rsid w:val="00487597"/>
    <w:rsid w:val="004C597F"/>
    <w:rsid w:val="004E1AE1"/>
    <w:rsid w:val="004E6C36"/>
    <w:rsid w:val="00530BD0"/>
    <w:rsid w:val="00537238"/>
    <w:rsid w:val="005610A4"/>
    <w:rsid w:val="00577C62"/>
    <w:rsid w:val="005A32A7"/>
    <w:rsid w:val="005A722D"/>
    <w:rsid w:val="005B746F"/>
    <w:rsid w:val="005D52F4"/>
    <w:rsid w:val="00607F45"/>
    <w:rsid w:val="00614627"/>
    <w:rsid w:val="00625342"/>
    <w:rsid w:val="00637B20"/>
    <w:rsid w:val="006426ED"/>
    <w:rsid w:val="00707669"/>
    <w:rsid w:val="007278EE"/>
    <w:rsid w:val="00733606"/>
    <w:rsid w:val="00746D62"/>
    <w:rsid w:val="00752677"/>
    <w:rsid w:val="00794FB0"/>
    <w:rsid w:val="007962C6"/>
    <w:rsid w:val="007A60F5"/>
    <w:rsid w:val="007B3511"/>
    <w:rsid w:val="007E67CA"/>
    <w:rsid w:val="007E6957"/>
    <w:rsid w:val="007E6B48"/>
    <w:rsid w:val="00821CE5"/>
    <w:rsid w:val="00826950"/>
    <w:rsid w:val="0083629B"/>
    <w:rsid w:val="0088309C"/>
    <w:rsid w:val="008A4118"/>
    <w:rsid w:val="008A7E85"/>
    <w:rsid w:val="008D5336"/>
    <w:rsid w:val="008E0C46"/>
    <w:rsid w:val="008F5B0D"/>
    <w:rsid w:val="0094716D"/>
    <w:rsid w:val="00955CC2"/>
    <w:rsid w:val="00960129"/>
    <w:rsid w:val="00982172"/>
    <w:rsid w:val="009A6B44"/>
    <w:rsid w:val="009A6F01"/>
    <w:rsid w:val="009B1B9C"/>
    <w:rsid w:val="009B6E93"/>
    <w:rsid w:val="009E5EDD"/>
    <w:rsid w:val="00A70B48"/>
    <w:rsid w:val="00A76110"/>
    <w:rsid w:val="00A8104F"/>
    <w:rsid w:val="00A96253"/>
    <w:rsid w:val="00AB604C"/>
    <w:rsid w:val="00AC2EE4"/>
    <w:rsid w:val="00AD4F5D"/>
    <w:rsid w:val="00AD6092"/>
    <w:rsid w:val="00AE4926"/>
    <w:rsid w:val="00AF5464"/>
    <w:rsid w:val="00AF7900"/>
    <w:rsid w:val="00B64027"/>
    <w:rsid w:val="00B65465"/>
    <w:rsid w:val="00B80134"/>
    <w:rsid w:val="00B81BDD"/>
    <w:rsid w:val="00B95144"/>
    <w:rsid w:val="00BA0E3C"/>
    <w:rsid w:val="00BA2B09"/>
    <w:rsid w:val="00BA3303"/>
    <w:rsid w:val="00BD1862"/>
    <w:rsid w:val="00BD68AA"/>
    <w:rsid w:val="00BE3FF8"/>
    <w:rsid w:val="00C3563C"/>
    <w:rsid w:val="00C763B0"/>
    <w:rsid w:val="00C85DE4"/>
    <w:rsid w:val="00C91DB6"/>
    <w:rsid w:val="00CB46EE"/>
    <w:rsid w:val="00CD6FAB"/>
    <w:rsid w:val="00CE46A1"/>
    <w:rsid w:val="00CF09B4"/>
    <w:rsid w:val="00D0783A"/>
    <w:rsid w:val="00D35058"/>
    <w:rsid w:val="00D57F37"/>
    <w:rsid w:val="00D65044"/>
    <w:rsid w:val="00D73FC3"/>
    <w:rsid w:val="00E0685E"/>
    <w:rsid w:val="00E14BB8"/>
    <w:rsid w:val="00E412B5"/>
    <w:rsid w:val="00EB5D76"/>
    <w:rsid w:val="00EC6C65"/>
    <w:rsid w:val="00ED4455"/>
    <w:rsid w:val="00ED648B"/>
    <w:rsid w:val="00EE09D5"/>
    <w:rsid w:val="00EF2F9D"/>
    <w:rsid w:val="00F028F3"/>
    <w:rsid w:val="00F17F02"/>
    <w:rsid w:val="00F45668"/>
    <w:rsid w:val="00F4738E"/>
    <w:rsid w:val="00F57E58"/>
    <w:rsid w:val="00F70253"/>
    <w:rsid w:val="00F829E5"/>
    <w:rsid w:val="00F858D3"/>
    <w:rsid w:val="00F9627B"/>
    <w:rsid w:val="00F97A1B"/>
    <w:rsid w:val="00FA2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68"/>
    <w:rPr>
      <w:sz w:val="24"/>
      <w:szCs w:val="24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F4566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F858D3"/>
    <w:rPr>
      <w:rFonts w:ascii="Calibri" w:hAnsi="Calibri" w:cs="Times New Roman"/>
      <w:b/>
      <w:bCs/>
      <w:sz w:val="28"/>
      <w:szCs w:val="28"/>
      <w:lang w:val="uk-UA" w:eastAsia="uk-UA"/>
    </w:rPr>
  </w:style>
  <w:style w:type="paragraph" w:styleId="3">
    <w:name w:val="Body Text Indent 3"/>
    <w:basedOn w:val="a"/>
    <w:link w:val="30"/>
    <w:uiPriority w:val="99"/>
    <w:rsid w:val="00F45668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45668"/>
    <w:rPr>
      <w:rFonts w:cs="Times New Roman"/>
      <w:sz w:val="16"/>
      <w:lang w:val="ru-RU" w:eastAsia="ru-RU"/>
    </w:rPr>
  </w:style>
  <w:style w:type="paragraph" w:styleId="2">
    <w:name w:val="Body Text Indent 2"/>
    <w:basedOn w:val="a"/>
    <w:link w:val="20"/>
    <w:uiPriority w:val="99"/>
    <w:semiHidden/>
    <w:rsid w:val="00F456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F45668"/>
    <w:rPr>
      <w:rFonts w:cs="Times New Roman"/>
      <w:sz w:val="24"/>
      <w:lang w:val="uk-UA" w:eastAsia="uk-UA"/>
    </w:rPr>
  </w:style>
  <w:style w:type="paragraph" w:customStyle="1" w:styleId="a3">
    <w:name w:val="Таблица заголовки"/>
    <w:basedOn w:val="a"/>
    <w:uiPriority w:val="99"/>
    <w:rsid w:val="00F45668"/>
    <w:pPr>
      <w:spacing w:before="60" w:after="60"/>
      <w:jc w:val="center"/>
    </w:pPr>
    <w:rPr>
      <w:rFonts w:ascii="Arial" w:hAnsi="Arial" w:cs="Arial"/>
      <w:sz w:val="20"/>
      <w:szCs w:val="20"/>
      <w:lang w:val="ru-RU"/>
    </w:rPr>
  </w:style>
  <w:style w:type="paragraph" w:styleId="a4">
    <w:name w:val="List Paragraph"/>
    <w:basedOn w:val="a"/>
    <w:uiPriority w:val="99"/>
    <w:qFormat/>
    <w:rsid w:val="00CF09B4"/>
    <w:pPr>
      <w:ind w:left="720"/>
      <w:contextualSpacing/>
    </w:pPr>
  </w:style>
  <w:style w:type="paragraph" w:customStyle="1" w:styleId="Normal1">
    <w:name w:val="Normal1"/>
    <w:uiPriority w:val="99"/>
    <w:rsid w:val="00CF09B4"/>
    <w:pPr>
      <w:widowControl w:val="0"/>
      <w:snapToGrid w:val="0"/>
      <w:spacing w:line="300" w:lineRule="auto"/>
      <w:ind w:firstLine="720"/>
      <w:jc w:val="both"/>
    </w:pPr>
    <w:rPr>
      <w:rFonts w:ascii="Courier New" w:hAnsi="Courier New"/>
      <w:sz w:val="28"/>
      <w:lang w:val="uk-UA" w:eastAsia="ru-RU"/>
    </w:rPr>
  </w:style>
  <w:style w:type="paragraph" w:customStyle="1" w:styleId="a5">
    <w:name w:val="Знак"/>
    <w:basedOn w:val="a"/>
    <w:uiPriority w:val="99"/>
    <w:rsid w:val="00F028F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2171DD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a0"/>
    <w:link w:val="a6"/>
    <w:uiPriority w:val="99"/>
    <w:semiHidden/>
    <w:rsid w:val="000D553D"/>
    <w:rPr>
      <w:sz w:val="24"/>
      <w:szCs w:val="24"/>
      <w:lang w:val="uk-UA" w:eastAsia="uk-UA"/>
    </w:rPr>
  </w:style>
  <w:style w:type="character" w:customStyle="1" w:styleId="a7">
    <w:name w:val="Основной текст с отступом Знак"/>
    <w:link w:val="a6"/>
    <w:uiPriority w:val="99"/>
    <w:locked/>
    <w:rsid w:val="002171DD"/>
    <w:rPr>
      <w:sz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9822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sushko</dc:creator>
  <cp:keywords/>
  <dc:description/>
  <cp:lastModifiedBy>bilinok</cp:lastModifiedBy>
  <cp:revision>41</cp:revision>
  <cp:lastPrinted>2013-02-08T08:41:00Z</cp:lastPrinted>
  <dcterms:created xsi:type="dcterms:W3CDTF">2013-08-19T11:30:00Z</dcterms:created>
  <dcterms:modified xsi:type="dcterms:W3CDTF">2013-10-03T12:54:00Z</dcterms:modified>
</cp:coreProperties>
</file>